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62F0C" w:rsidRPr="00D62F0C" w:rsidTr="00D62F0C">
        <w:trPr>
          <w:jc w:val="center"/>
        </w:trPr>
        <w:tc>
          <w:tcPr>
            <w:tcW w:w="743" w:type="dxa"/>
            <w:hideMark/>
          </w:tcPr>
          <w:p w:rsidR="00D62F0C" w:rsidRPr="00D62F0C" w:rsidRDefault="00D62F0C" w:rsidP="00D62F0C">
            <w:pPr>
              <w:jc w:val="both"/>
              <w:rPr>
                <w:rFonts w:ascii="Arial (W1)" w:hAnsi="Arial (W1)" w:cs="David"/>
                <w:b/>
                <w:bCs/>
                <w:noProof/>
                <w:sz w:val="28"/>
                <w:szCs w:val="28"/>
              </w:rPr>
            </w:pPr>
            <w:bookmarkStart w:id="0" w:name="_GoBack"/>
            <w:bookmarkEnd w:id="0"/>
            <w:r w:rsidRPr="00D62F0C">
              <w:rPr>
                <w:rFonts w:cs="David"/>
                <w:b/>
                <w:bCs/>
                <w:noProof/>
                <w:sz w:val="28"/>
                <w:szCs w:val="24"/>
                <w:rtl/>
              </w:rPr>
              <w:t xml:space="preserve">בפני </w:t>
            </w:r>
          </w:p>
        </w:tc>
        <w:tc>
          <w:tcPr>
            <w:tcW w:w="8077" w:type="dxa"/>
            <w:gridSpan w:val="2"/>
            <w:hideMark/>
          </w:tcPr>
          <w:p w:rsidR="00D62F0C" w:rsidRPr="00D62F0C" w:rsidRDefault="00D62F0C" w:rsidP="006A2A7E">
            <w:pPr>
              <w:jc w:val="left"/>
              <w:rPr>
                <w:rFonts w:ascii="Arial" w:hAnsi="Arial" w:cs="David"/>
                <w:b/>
                <w:bCs/>
                <w:noProof/>
                <w:sz w:val="24"/>
                <w:szCs w:val="24"/>
              </w:rPr>
            </w:pPr>
            <w:r w:rsidRPr="00D62F0C">
              <w:rPr>
                <w:rFonts w:ascii="Arial" w:hAnsi="Arial" w:cs="David"/>
                <w:b/>
                <w:bCs/>
                <w:noProof/>
                <w:sz w:val="24"/>
                <w:szCs w:val="24"/>
                <w:rtl/>
              </w:rPr>
              <w:t>כבוד ה</w:t>
            </w:r>
            <w:sdt>
              <w:sdtPr>
                <w:rPr>
                  <w:rFonts w:cs="David"/>
                  <w:b/>
                  <w:bCs/>
                  <w:noProof/>
                  <w:sz w:val="24"/>
                  <w:szCs w:val="24"/>
                  <w:rtl/>
                </w:rPr>
                <w:alias w:val="1574"/>
                <w:tag w:val="1574"/>
                <w:id w:val="-868990752"/>
                <w:text w:multiLine="1"/>
              </w:sdtPr>
              <w:sdtEndPr/>
              <w:sdtContent>
                <w:r w:rsidRPr="00D62F0C">
                  <w:rPr>
                    <w:rFonts w:cs="David"/>
                    <w:b/>
                    <w:bCs/>
                    <w:noProof/>
                    <w:sz w:val="24"/>
                    <w:szCs w:val="24"/>
                    <w:rtl/>
                  </w:rPr>
                  <w:t>שופטת</w:t>
                </w:r>
              </w:sdtContent>
            </w:sdt>
            <w:r w:rsidRPr="00D62F0C">
              <w:rPr>
                <w:rFonts w:ascii="Arial" w:hAnsi="Arial" w:cs="David"/>
                <w:b/>
                <w:bCs/>
                <w:noProof/>
                <w:sz w:val="24"/>
                <w:szCs w:val="24"/>
                <w:rtl/>
              </w:rPr>
              <w:t xml:space="preserve">  </w:t>
            </w:r>
            <w:sdt>
              <w:sdtPr>
                <w:rPr>
                  <w:rFonts w:cs="David"/>
                  <w:b/>
                  <w:bCs/>
                  <w:noProof/>
                  <w:sz w:val="24"/>
                  <w:szCs w:val="24"/>
                  <w:rtl/>
                </w:rPr>
                <w:alias w:val="1573"/>
                <w:tag w:val="1573"/>
                <w:id w:val="407734867"/>
                <w:text w:multiLine="1"/>
              </w:sdtPr>
              <w:sdtEndPr/>
              <w:sdtContent>
                <w:r w:rsidRPr="00D62F0C">
                  <w:rPr>
                    <w:rFonts w:cs="David"/>
                    <w:b/>
                    <w:bCs/>
                    <w:noProof/>
                    <w:sz w:val="24"/>
                    <w:szCs w:val="24"/>
                    <w:rtl/>
                  </w:rPr>
                  <w:t>ליאת דהן חיון</w:t>
                </w:r>
                <w:r w:rsidR="006A2A7E">
                  <w:rPr>
                    <w:rFonts w:cs="David"/>
                    <w:b/>
                    <w:bCs/>
                    <w:noProof/>
                    <w:sz w:val="24"/>
                    <w:szCs w:val="24"/>
                    <w:rtl/>
                  </w:rPr>
                  <w:br/>
                </w:r>
              </w:sdtContent>
            </w:sdt>
          </w:p>
        </w:tc>
      </w:tr>
      <w:tr w:rsidR="00D62F0C" w:rsidRPr="00D62F0C" w:rsidTr="00D62F0C">
        <w:trPr>
          <w:jc w:val="center"/>
        </w:trPr>
        <w:tc>
          <w:tcPr>
            <w:tcW w:w="3249" w:type="dxa"/>
            <w:gridSpan w:val="2"/>
            <w:hideMark/>
          </w:tcPr>
          <w:sdt>
            <w:sdtPr>
              <w:rPr>
                <w:rFonts w:cs="David"/>
                <w:b/>
                <w:bCs/>
                <w:noProof/>
                <w:sz w:val="24"/>
                <w:szCs w:val="24"/>
                <w:rtl/>
              </w:rPr>
              <w:alias w:val="1180"/>
              <w:tag w:val="1180"/>
              <w:id w:val="-803768281"/>
              <w:text w:multiLine="1"/>
            </w:sdtPr>
            <w:sdtEndPr/>
            <w:sdtContent>
              <w:p w:rsidR="00D62F0C" w:rsidRPr="00D62F0C" w:rsidRDefault="00D62F0C" w:rsidP="006A2A7E">
                <w:pPr>
                  <w:jc w:val="left"/>
                  <w:rPr>
                    <w:rFonts w:ascii="Arial (W1)" w:hAnsi="Arial (W1)" w:cs="David"/>
                    <w:b/>
                    <w:bCs/>
                    <w:sz w:val="28"/>
                    <w:szCs w:val="28"/>
                    <w:rtl/>
                  </w:rPr>
                </w:pPr>
                <w:r w:rsidRPr="00D62F0C">
                  <w:rPr>
                    <w:rFonts w:cs="David"/>
                    <w:b/>
                    <w:bCs/>
                    <w:noProof/>
                    <w:sz w:val="24"/>
                    <w:szCs w:val="24"/>
                    <w:rtl/>
                  </w:rPr>
                  <w:t>תובעים</w:t>
                </w:r>
              </w:p>
            </w:sdtContent>
          </w:sdt>
        </w:tc>
        <w:tc>
          <w:tcPr>
            <w:tcW w:w="5571" w:type="dxa"/>
            <w:hideMark/>
          </w:tcPr>
          <w:p w:rsidR="00D62F0C" w:rsidRPr="00D62F0C" w:rsidRDefault="00D93717" w:rsidP="006A2A7E">
            <w:pPr>
              <w:jc w:val="left"/>
              <w:rPr>
                <w:rFonts w:ascii="Arial" w:hAnsi="Arial" w:cs="David"/>
                <w:b/>
                <w:bCs/>
                <w:sz w:val="26"/>
                <w:szCs w:val="26"/>
              </w:rPr>
            </w:pPr>
            <w:sdt>
              <w:sdtPr>
                <w:rPr>
                  <w:rFonts w:cs="David"/>
                  <w:b/>
                  <w:bCs/>
                  <w:sz w:val="28"/>
                  <w:szCs w:val="24"/>
                  <w:rtl/>
                </w:rPr>
                <w:alias w:val="1462"/>
                <w:tag w:val="1462"/>
                <w:id w:val="-1143353124"/>
                <w:text w:multiLine="1"/>
              </w:sdtPr>
              <w:sdtEndPr/>
              <w:sdtContent>
                <w:r w:rsidR="006A2A7E">
                  <w:rPr>
                    <w:rFonts w:cs="David" w:hint="cs"/>
                    <w:b/>
                    <w:bCs/>
                    <w:sz w:val="28"/>
                    <w:szCs w:val="24"/>
                    <w:rtl/>
                  </w:rPr>
                  <w:t xml:space="preserve">פלוני ואח' </w:t>
                </w:r>
              </w:sdtContent>
            </w:sdt>
          </w:p>
          <w:p w:rsidR="00D62F0C" w:rsidRPr="00D62F0C" w:rsidRDefault="00D62F0C" w:rsidP="006A2A7E">
            <w:pPr>
              <w:jc w:val="left"/>
              <w:rPr>
                <w:rFonts w:ascii="Arial (W1)" w:hAnsi="Arial (W1)" w:cs="David"/>
                <w:b/>
                <w:bCs/>
                <w:sz w:val="28"/>
                <w:szCs w:val="28"/>
                <w:rtl/>
              </w:rPr>
            </w:pPr>
            <w:r w:rsidRPr="00D62F0C">
              <w:rPr>
                <w:rFonts w:ascii="Arial" w:hAnsi="Arial" w:cs="David"/>
                <w:b/>
                <w:bCs/>
                <w:sz w:val="24"/>
                <w:szCs w:val="24"/>
                <w:rtl/>
              </w:rPr>
              <w:t>ע"י ב"כ עו"ד היבא זועבי</w:t>
            </w:r>
            <w:r w:rsidRPr="00D62F0C">
              <w:rPr>
                <w:rFonts w:ascii="Arial (W1)" w:hAnsi="Arial (W1)" w:cs="David"/>
                <w:b/>
                <w:bCs/>
                <w:sz w:val="24"/>
                <w:szCs w:val="24"/>
                <w:rtl/>
              </w:rPr>
              <w:t xml:space="preserve"> (סיוע משפטי</w:t>
            </w:r>
            <w:r w:rsidRPr="00D62F0C">
              <w:rPr>
                <w:rFonts w:ascii="Arial (W1)" w:hAnsi="Arial (W1)" w:cs="David"/>
                <w:b/>
                <w:bCs/>
                <w:sz w:val="26"/>
                <w:szCs w:val="24"/>
                <w:rtl/>
              </w:rPr>
              <w:t>)</w:t>
            </w:r>
          </w:p>
        </w:tc>
      </w:tr>
      <w:tr w:rsidR="00D62F0C" w:rsidRPr="00D62F0C" w:rsidTr="00D62F0C">
        <w:trPr>
          <w:jc w:val="center"/>
        </w:trPr>
        <w:tc>
          <w:tcPr>
            <w:tcW w:w="8820" w:type="dxa"/>
            <w:gridSpan w:val="3"/>
          </w:tcPr>
          <w:p w:rsidR="00D62F0C" w:rsidRPr="00D62F0C" w:rsidRDefault="00D62F0C" w:rsidP="00D62F0C">
            <w:pPr>
              <w:rPr>
                <w:rFonts w:ascii="Arial (W1)" w:hAnsi="Arial (W1)" w:cs="David"/>
                <w:b/>
                <w:bCs/>
                <w:sz w:val="28"/>
                <w:szCs w:val="28"/>
              </w:rPr>
            </w:pPr>
          </w:p>
          <w:p w:rsidR="00D62F0C" w:rsidRPr="00D62F0C" w:rsidRDefault="00D62F0C" w:rsidP="00D62F0C">
            <w:pPr>
              <w:jc w:val="center"/>
              <w:rPr>
                <w:rFonts w:cs="David"/>
                <w:b/>
                <w:bCs/>
                <w:sz w:val="28"/>
                <w:szCs w:val="24"/>
                <w:rtl/>
              </w:rPr>
            </w:pPr>
            <w:r w:rsidRPr="00D62F0C">
              <w:rPr>
                <w:rFonts w:cs="David"/>
                <w:b/>
                <w:bCs/>
                <w:sz w:val="28"/>
                <w:szCs w:val="24"/>
                <w:rtl/>
              </w:rPr>
              <w:t>נגד</w:t>
            </w:r>
          </w:p>
          <w:p w:rsidR="00D62F0C" w:rsidRPr="00D62F0C" w:rsidRDefault="00D62F0C" w:rsidP="00D62F0C">
            <w:pPr>
              <w:rPr>
                <w:rFonts w:ascii="Arial (W1)" w:hAnsi="Arial (W1)" w:cs="David"/>
                <w:b/>
                <w:bCs/>
                <w:sz w:val="28"/>
                <w:szCs w:val="28"/>
                <w:rtl/>
              </w:rPr>
            </w:pPr>
          </w:p>
        </w:tc>
      </w:tr>
      <w:tr w:rsidR="00D62F0C" w:rsidRPr="00D62F0C" w:rsidTr="00D62F0C">
        <w:trPr>
          <w:jc w:val="center"/>
        </w:trPr>
        <w:tc>
          <w:tcPr>
            <w:tcW w:w="3249" w:type="dxa"/>
            <w:gridSpan w:val="2"/>
            <w:hideMark/>
          </w:tcPr>
          <w:p w:rsidR="00D62F0C" w:rsidRPr="00D62F0C" w:rsidRDefault="00D93717" w:rsidP="006A2A7E">
            <w:pPr>
              <w:jc w:val="left"/>
              <w:rPr>
                <w:rFonts w:ascii="Arial (W1)" w:hAnsi="Arial (W1)" w:cs="David"/>
                <w:b/>
                <w:bCs/>
                <w:sz w:val="28"/>
                <w:szCs w:val="28"/>
              </w:rPr>
            </w:pPr>
            <w:sdt>
              <w:sdtPr>
                <w:rPr>
                  <w:rFonts w:cs="David"/>
                  <w:b/>
                  <w:bCs/>
                  <w:noProof/>
                  <w:sz w:val="24"/>
                  <w:szCs w:val="24"/>
                  <w:rtl/>
                </w:rPr>
                <w:alias w:val="1184"/>
                <w:tag w:val="1184"/>
                <w:id w:val="-910234160"/>
                <w:text w:multiLine="1"/>
              </w:sdtPr>
              <w:sdtEndPr/>
              <w:sdtContent>
                <w:r w:rsidR="00D62F0C" w:rsidRPr="00D62F0C">
                  <w:rPr>
                    <w:rFonts w:cs="David"/>
                    <w:b/>
                    <w:bCs/>
                    <w:noProof/>
                    <w:sz w:val="24"/>
                    <w:szCs w:val="24"/>
                    <w:rtl/>
                  </w:rPr>
                  <w:t>נתבעים</w:t>
                </w:r>
              </w:sdtContent>
            </w:sdt>
          </w:p>
        </w:tc>
        <w:tc>
          <w:tcPr>
            <w:tcW w:w="5571" w:type="dxa"/>
            <w:hideMark/>
          </w:tcPr>
          <w:p w:rsidR="006A2A7E" w:rsidRDefault="00D93717" w:rsidP="006A2A7E">
            <w:pPr>
              <w:jc w:val="left"/>
              <w:rPr>
                <w:rFonts w:ascii="Arial" w:hAnsi="Arial" w:cs="David"/>
                <w:b/>
                <w:bCs/>
                <w:sz w:val="26"/>
                <w:szCs w:val="26"/>
                <w:rtl/>
              </w:rPr>
            </w:pPr>
            <w:sdt>
              <w:sdtPr>
                <w:rPr>
                  <w:rFonts w:cs="David"/>
                  <w:b/>
                  <w:bCs/>
                  <w:noProof/>
                  <w:sz w:val="24"/>
                  <w:szCs w:val="24"/>
                  <w:rtl/>
                </w:rPr>
                <w:alias w:val="1571"/>
                <w:tag w:val="1571"/>
                <w:id w:val="-1361515445"/>
                <w:text w:multiLine="1"/>
              </w:sdtPr>
              <w:sdtEndPr/>
              <w:sdtContent>
                <w:r w:rsidR="006A2A7E" w:rsidRPr="006A2A7E">
                  <w:rPr>
                    <w:rFonts w:cs="David" w:hint="cs"/>
                    <w:b/>
                    <w:bCs/>
                    <w:noProof/>
                    <w:sz w:val="24"/>
                    <w:szCs w:val="24"/>
                    <w:rtl/>
                  </w:rPr>
                  <w:t xml:space="preserve">אלמוני ואח' </w:t>
                </w:r>
              </w:sdtContent>
            </w:sdt>
          </w:p>
          <w:p w:rsidR="00D62F0C" w:rsidRPr="00D62F0C" w:rsidRDefault="00D62F0C" w:rsidP="006A2A7E">
            <w:pPr>
              <w:jc w:val="left"/>
              <w:rPr>
                <w:rFonts w:ascii="Arial" w:hAnsi="Arial" w:cs="David"/>
                <w:b/>
                <w:bCs/>
                <w:sz w:val="26"/>
                <w:szCs w:val="26"/>
                <w:rtl/>
              </w:rPr>
            </w:pPr>
            <w:r w:rsidRPr="00D62F0C">
              <w:rPr>
                <w:rFonts w:ascii="Arial" w:hAnsi="Arial" w:cs="David"/>
                <w:b/>
                <w:bCs/>
                <w:sz w:val="24"/>
                <w:szCs w:val="24"/>
                <w:rtl/>
              </w:rPr>
              <w:t xml:space="preserve">ע"י ב"כ עוה"ד </w:t>
            </w:r>
            <w:r w:rsidRPr="00D62F0C">
              <w:rPr>
                <w:rFonts w:ascii="Arial (W1)" w:hAnsi="Arial (W1)" w:cs="David"/>
                <w:b/>
                <w:bCs/>
                <w:sz w:val="24"/>
                <w:szCs w:val="24"/>
                <w:rtl/>
              </w:rPr>
              <w:t>חליל מסאלחה</w:t>
            </w:r>
          </w:p>
        </w:tc>
      </w:tr>
    </w:tbl>
    <w:p w:rsidR="00D62F0C" w:rsidRPr="00D62F0C" w:rsidRDefault="00D62F0C" w:rsidP="00D62F0C">
      <w:pPr>
        <w:suppressLineNumbers/>
        <w:spacing w:after="0" w:line="240" w:lineRule="auto"/>
        <w:rPr>
          <w:rFonts w:ascii="Times New Roman" w:eastAsia="Times New Roman" w:hAnsi="Times New Roman" w:cs="David"/>
          <w:noProof/>
          <w:sz w:val="24"/>
          <w:szCs w:val="24"/>
        </w:rPr>
      </w:pPr>
    </w:p>
    <w:tbl>
      <w:tblPr>
        <w:tblStyle w:val="aa"/>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62F0C" w:rsidRPr="00D62F0C" w:rsidTr="00D62F0C">
        <w:trPr>
          <w:jc w:val="center"/>
        </w:trPr>
        <w:tc>
          <w:tcPr>
            <w:tcW w:w="8820" w:type="dxa"/>
            <w:hideMark/>
          </w:tcPr>
          <w:p w:rsidR="00D62F0C" w:rsidRPr="00D62F0C" w:rsidRDefault="00D62F0C" w:rsidP="00D62F0C">
            <w:pPr>
              <w:bidi w:val="0"/>
              <w:jc w:val="center"/>
              <w:rPr>
                <w:rFonts w:ascii="Arial" w:hAnsi="Arial" w:cs="David"/>
                <w:b/>
                <w:bCs/>
                <w:sz w:val="32"/>
                <w:szCs w:val="32"/>
                <w:u w:val="single"/>
              </w:rPr>
            </w:pPr>
            <w:r w:rsidRPr="00D62F0C">
              <w:rPr>
                <w:rFonts w:ascii="Arial" w:hAnsi="Arial" w:cs="David"/>
                <w:b/>
                <w:bCs/>
                <w:sz w:val="32"/>
                <w:szCs w:val="32"/>
                <w:u w:val="single"/>
                <w:rtl/>
              </w:rPr>
              <w:t>פסק דין</w:t>
            </w:r>
          </w:p>
        </w:tc>
      </w:tr>
    </w:tbl>
    <w:p w:rsidR="00D62F0C" w:rsidRPr="00D62F0C" w:rsidRDefault="00D62F0C" w:rsidP="00D62F0C">
      <w:pPr>
        <w:spacing w:after="0" w:line="360" w:lineRule="auto"/>
        <w:jc w:val="both"/>
        <w:rPr>
          <w:rFonts w:ascii="Arial" w:eastAsia="Times New Roman" w:hAnsi="Arial" w:cs="David"/>
          <w:sz w:val="24"/>
          <w:szCs w:val="24"/>
        </w:rPr>
      </w:pPr>
    </w:p>
    <w:p w:rsidR="00D62F0C" w:rsidRPr="00D62F0C" w:rsidRDefault="00D62F0C" w:rsidP="00D62F0C">
      <w:pPr>
        <w:spacing w:after="0" w:line="360" w:lineRule="auto"/>
        <w:jc w:val="both"/>
        <w:rPr>
          <w:rFonts w:ascii="Arial" w:eastAsia="Times New Roman" w:hAnsi="Arial" w:cs="David"/>
          <w:sz w:val="24"/>
          <w:szCs w:val="24"/>
          <w:rtl/>
        </w:rPr>
      </w:pPr>
      <w:r w:rsidRPr="00D62F0C">
        <w:rPr>
          <w:rFonts w:ascii="Arial" w:eastAsia="Times New Roman" w:hAnsi="Arial" w:cs="David"/>
          <w:noProof/>
          <w:sz w:val="24"/>
          <w:szCs w:val="24"/>
          <w:rtl/>
        </w:rPr>
        <w:t>עניינו של פס"ד בעתירת התובעים לביטול הסכם מתנה במקרקעין וסילוק הנתבעים מהנכס מושא ההסכם. עיקר המחלוקת בשאלת תוקפו של ההסכם נוכח טענות בדבר טעות והטעייה, וכן באם המדובר בהתחייבות להענקת מתנה או שמא במתנה מוגמרת.</w:t>
      </w:r>
    </w:p>
    <w:p w:rsidR="00D62F0C" w:rsidRPr="00D62F0C" w:rsidRDefault="00D62F0C" w:rsidP="00D62F0C">
      <w:pPr>
        <w:spacing w:after="0" w:line="360" w:lineRule="auto"/>
        <w:jc w:val="both"/>
        <w:rPr>
          <w:rFonts w:ascii="Arial" w:eastAsia="Times New Roman" w:hAnsi="Arial" w:cs="David"/>
          <w:noProof/>
          <w:sz w:val="24"/>
          <w:szCs w:val="24"/>
          <w:highlight w:val="yellow"/>
        </w:rPr>
      </w:pPr>
    </w:p>
    <w:p w:rsidR="00D62F0C" w:rsidRPr="00D62F0C" w:rsidRDefault="00D62F0C" w:rsidP="00D62F0C">
      <w:pPr>
        <w:spacing w:after="0" w:line="360" w:lineRule="auto"/>
        <w:jc w:val="both"/>
        <w:rPr>
          <w:rFonts w:ascii="Arial" w:eastAsia="Times New Roman" w:hAnsi="Arial" w:cs="David"/>
          <w:b/>
          <w:bCs/>
          <w:noProof/>
          <w:sz w:val="32"/>
          <w:szCs w:val="32"/>
          <w:u w:val="single"/>
          <w:rtl/>
        </w:rPr>
      </w:pPr>
      <w:r w:rsidRPr="00D62F0C">
        <w:rPr>
          <w:rFonts w:ascii="Arial" w:eastAsia="Times New Roman" w:hAnsi="Arial" w:cs="David"/>
          <w:b/>
          <w:bCs/>
          <w:noProof/>
          <w:sz w:val="32"/>
          <w:szCs w:val="32"/>
          <w:highlight w:val="lightGray"/>
          <w:u w:val="single"/>
          <w:rtl/>
        </w:rPr>
        <w:t>רקע בקצרה:</w:t>
      </w:r>
    </w:p>
    <w:p w:rsidR="00D62F0C" w:rsidRPr="00D62F0C" w:rsidRDefault="00D62F0C" w:rsidP="006A2A7E">
      <w:pPr>
        <w:numPr>
          <w:ilvl w:val="0"/>
          <w:numId w:val="1"/>
        </w:numPr>
        <w:spacing w:after="0" w:line="360" w:lineRule="auto"/>
        <w:contextualSpacing/>
        <w:jc w:val="both"/>
        <w:rPr>
          <w:rFonts w:ascii="Arial" w:eastAsia="Times New Roman" w:hAnsi="Arial" w:cs="David"/>
          <w:noProof/>
          <w:sz w:val="24"/>
          <w:szCs w:val="24"/>
          <w:rtl/>
        </w:rPr>
      </w:pPr>
      <w:r w:rsidRPr="00D62F0C">
        <w:rPr>
          <w:rFonts w:ascii="Arial" w:eastAsia="Times New Roman" w:hAnsi="Arial" w:cs="David"/>
          <w:noProof/>
          <w:sz w:val="24"/>
          <w:szCs w:val="24"/>
          <w:rtl/>
        </w:rPr>
        <w:t xml:space="preserve">התובעים בני זוג, </w:t>
      </w:r>
      <w:r w:rsidR="006A2A7E">
        <w:rPr>
          <w:rFonts w:ascii="Arial" w:eastAsia="Times New Roman" w:hAnsi="Arial" w:cs="David" w:hint="cs"/>
          <w:noProof/>
          <w:sz w:val="24"/>
          <w:szCs w:val="24"/>
          <w:rtl/>
        </w:rPr>
        <w:t xml:space="preserve">*** </w:t>
      </w:r>
      <w:r w:rsidRPr="00D62F0C">
        <w:rPr>
          <w:rFonts w:ascii="Arial" w:eastAsia="Times New Roman" w:hAnsi="Arial" w:cs="David"/>
          <w:noProof/>
          <w:sz w:val="24"/>
          <w:szCs w:val="24"/>
          <w:rtl/>
        </w:rPr>
        <w:t xml:space="preserve">(להלן: </w:t>
      </w:r>
      <w:r w:rsidRPr="00D62F0C">
        <w:rPr>
          <w:rFonts w:ascii="Arial" w:eastAsia="Times New Roman" w:hAnsi="Arial" w:cs="David"/>
          <w:b/>
          <w:bCs/>
          <w:noProof/>
          <w:sz w:val="24"/>
          <w:szCs w:val="24"/>
          <w:rtl/>
        </w:rPr>
        <w:t>"התובעת")</w:t>
      </w:r>
      <w:r w:rsidRPr="00D62F0C">
        <w:rPr>
          <w:rFonts w:ascii="Arial" w:eastAsia="Times New Roman" w:hAnsi="Arial" w:cs="David"/>
          <w:noProof/>
          <w:sz w:val="24"/>
          <w:szCs w:val="24"/>
          <w:rtl/>
        </w:rPr>
        <w:t xml:space="preserve"> ו</w:t>
      </w:r>
      <w:r w:rsidR="006A2A7E">
        <w:rPr>
          <w:rFonts w:ascii="Arial" w:eastAsia="Times New Roman" w:hAnsi="Arial" w:cs="David" w:hint="cs"/>
          <w:noProof/>
          <w:sz w:val="24"/>
          <w:szCs w:val="24"/>
          <w:rtl/>
        </w:rPr>
        <w:t xml:space="preserve">*** </w:t>
      </w:r>
      <w:r w:rsidRPr="00D62F0C">
        <w:rPr>
          <w:rFonts w:ascii="Arial" w:eastAsia="Times New Roman" w:hAnsi="Arial" w:cs="David"/>
          <w:noProof/>
          <w:sz w:val="24"/>
          <w:szCs w:val="24"/>
          <w:rtl/>
        </w:rPr>
        <w:t>(</w:t>
      </w:r>
      <w:r w:rsidRPr="00D62F0C">
        <w:rPr>
          <w:rFonts w:ascii="Arial" w:eastAsia="Times New Roman" w:hAnsi="Arial" w:cs="David"/>
          <w:b/>
          <w:bCs/>
          <w:noProof/>
          <w:sz w:val="24"/>
          <w:szCs w:val="24"/>
          <w:rtl/>
        </w:rPr>
        <w:t>להלן: "התובע")</w:t>
      </w:r>
      <w:r w:rsidRPr="00D62F0C">
        <w:rPr>
          <w:rFonts w:ascii="Arial" w:eastAsia="Times New Roman" w:hAnsi="Arial" w:cs="David"/>
          <w:noProof/>
          <w:sz w:val="24"/>
          <w:szCs w:val="24"/>
          <w:rtl/>
        </w:rPr>
        <w:t xml:space="preserve">, הוריו של הנתבע </w:t>
      </w:r>
      <w:r w:rsidR="006A2A7E">
        <w:rPr>
          <w:rFonts w:ascii="Arial" w:eastAsia="Times New Roman" w:hAnsi="Arial" w:cs="David" w:hint="cs"/>
          <w:noProof/>
          <w:sz w:val="24"/>
          <w:szCs w:val="24"/>
          <w:rtl/>
        </w:rPr>
        <w:t xml:space="preserve">*** </w:t>
      </w:r>
      <w:r w:rsidRPr="00D62F0C">
        <w:rPr>
          <w:rFonts w:ascii="Arial" w:eastAsia="Times New Roman" w:hAnsi="Arial" w:cs="David"/>
          <w:noProof/>
          <w:sz w:val="24"/>
          <w:szCs w:val="24"/>
          <w:rtl/>
        </w:rPr>
        <w:t>(</w:t>
      </w:r>
      <w:r w:rsidRPr="00D62F0C">
        <w:rPr>
          <w:rFonts w:ascii="Arial" w:eastAsia="Times New Roman" w:hAnsi="Arial" w:cs="David"/>
          <w:b/>
          <w:bCs/>
          <w:noProof/>
          <w:sz w:val="24"/>
          <w:szCs w:val="24"/>
          <w:rtl/>
        </w:rPr>
        <w:t>להלן: "הנתבע")</w:t>
      </w:r>
      <w:r w:rsidRPr="00D62F0C">
        <w:rPr>
          <w:rFonts w:ascii="Arial" w:eastAsia="Times New Roman" w:hAnsi="Arial" w:cs="David"/>
          <w:noProof/>
          <w:sz w:val="24"/>
          <w:szCs w:val="24"/>
          <w:rtl/>
        </w:rPr>
        <w:t xml:space="preserve">. הנתבעת, </w:t>
      </w:r>
      <w:r w:rsidR="006A2A7E">
        <w:rPr>
          <w:rFonts w:ascii="Arial" w:eastAsia="Times New Roman" w:hAnsi="Arial" w:cs="David" w:hint="cs"/>
          <w:noProof/>
          <w:sz w:val="24"/>
          <w:szCs w:val="24"/>
          <w:rtl/>
        </w:rPr>
        <w:t>***</w:t>
      </w:r>
      <w:r w:rsidRPr="00D62F0C">
        <w:rPr>
          <w:rFonts w:ascii="Arial" w:eastAsia="Times New Roman" w:hAnsi="Arial" w:cs="David"/>
          <w:noProof/>
          <w:sz w:val="24"/>
          <w:szCs w:val="24"/>
          <w:rtl/>
        </w:rPr>
        <w:t>, היא אשתו השנייה של הנתבע, ואלה התחתנו בשנת 2012 (להלן:</w:t>
      </w:r>
      <w:r w:rsidRPr="00D62F0C">
        <w:rPr>
          <w:rFonts w:ascii="Arial" w:eastAsia="Times New Roman" w:hAnsi="Arial" w:cs="David"/>
          <w:b/>
          <w:bCs/>
          <w:noProof/>
          <w:sz w:val="24"/>
          <w:szCs w:val="24"/>
          <w:rtl/>
        </w:rPr>
        <w:t xml:space="preserve"> "הנתבעת").</w:t>
      </w:r>
    </w:p>
    <w:p w:rsidR="00D62F0C" w:rsidRPr="00D62F0C" w:rsidRDefault="00D62F0C" w:rsidP="00D62F0C">
      <w:pPr>
        <w:spacing w:line="240" w:lineRule="auto"/>
        <w:ind w:left="360"/>
        <w:contextualSpacing/>
        <w:jc w:val="both"/>
        <w:rPr>
          <w:rFonts w:ascii="Arial" w:eastAsia="Times New Roman" w:hAnsi="Arial" w:cs="David"/>
          <w:noProof/>
          <w:sz w:val="24"/>
          <w:szCs w:val="24"/>
        </w:rPr>
      </w:pPr>
    </w:p>
    <w:p w:rsidR="00D62F0C" w:rsidRPr="00D62F0C" w:rsidRDefault="00D62F0C" w:rsidP="00D62F0C">
      <w:pPr>
        <w:numPr>
          <w:ilvl w:val="0"/>
          <w:numId w:val="1"/>
        </w:numPr>
        <w:spacing w:after="0" w:line="360" w:lineRule="auto"/>
        <w:contextualSpacing/>
        <w:jc w:val="both"/>
        <w:rPr>
          <w:rFonts w:ascii="Arial" w:eastAsia="Times New Roman" w:hAnsi="Arial" w:cs="David"/>
          <w:noProof/>
          <w:sz w:val="24"/>
          <w:szCs w:val="24"/>
          <w:rtl/>
        </w:rPr>
      </w:pPr>
      <w:r w:rsidRPr="00D62F0C">
        <w:rPr>
          <w:rFonts w:ascii="Arial" w:eastAsia="Times New Roman" w:hAnsi="Arial" w:cs="David"/>
          <w:noProof/>
          <w:sz w:val="24"/>
          <w:szCs w:val="24"/>
          <w:rtl/>
        </w:rPr>
        <w:t>במסגרת ההליך הופנו הצדדים לגישור ביחידת סיוע ולאחריו הסכימו לפנות לגישור חיצוני. על פי דיווח המגשת, ניסיונותיה לשוחח עם ב"כ הצדדים עלו בתוהו, ובהמשך נמסר לה שאינם מעוניינים בהליך גישור והתיק הוחזר לבירור לפניי.</w:t>
      </w:r>
    </w:p>
    <w:p w:rsidR="00D62F0C" w:rsidRPr="00D62F0C" w:rsidRDefault="00D62F0C" w:rsidP="00D62F0C">
      <w:pPr>
        <w:spacing w:after="0" w:line="240" w:lineRule="auto"/>
        <w:rPr>
          <w:rFonts w:ascii="Arial" w:eastAsia="Times New Roman" w:hAnsi="Arial" w:cs="David"/>
          <w:noProof/>
          <w:sz w:val="24"/>
          <w:szCs w:val="24"/>
        </w:rPr>
      </w:pPr>
    </w:p>
    <w:p w:rsidR="00D62F0C" w:rsidRPr="00D62F0C" w:rsidRDefault="00D62F0C" w:rsidP="00D62F0C">
      <w:pPr>
        <w:numPr>
          <w:ilvl w:val="0"/>
          <w:numId w:val="1"/>
        </w:numPr>
        <w:spacing w:after="0" w:line="360" w:lineRule="auto"/>
        <w:contextualSpacing/>
        <w:jc w:val="both"/>
        <w:rPr>
          <w:rFonts w:ascii="Arial" w:eastAsia="Times New Roman" w:hAnsi="Arial" w:cs="David"/>
          <w:noProof/>
          <w:sz w:val="24"/>
          <w:szCs w:val="24"/>
          <w:rtl/>
        </w:rPr>
      </w:pPr>
      <w:r w:rsidRPr="00D62F0C">
        <w:rPr>
          <w:rFonts w:ascii="Arial" w:eastAsia="Times New Roman" w:hAnsi="Arial" w:cs="David"/>
          <w:noProof/>
          <w:sz w:val="24"/>
          <w:szCs w:val="24"/>
          <w:rtl/>
        </w:rPr>
        <w:t>משך ההליכים התקיימו 5 דיונים הכוללים קדמי משפט ושמיעת ראיות. עוד יצויין שהתובעים תיקנו את כתב התביעה 3 פעמים, אגב הוספת סעדים ובעלי דין.</w:t>
      </w:r>
    </w:p>
    <w:p w:rsidR="00D62F0C" w:rsidRPr="00D62F0C" w:rsidRDefault="00D62F0C" w:rsidP="00D62F0C">
      <w:pPr>
        <w:spacing w:line="360" w:lineRule="auto"/>
        <w:contextualSpacing/>
        <w:jc w:val="both"/>
        <w:rPr>
          <w:rFonts w:ascii="Arial" w:eastAsia="Times New Roman" w:hAnsi="Arial" w:cs="David"/>
          <w:noProof/>
          <w:sz w:val="24"/>
          <w:szCs w:val="24"/>
        </w:rPr>
      </w:pPr>
    </w:p>
    <w:p w:rsidR="00D62F0C" w:rsidRPr="00D62F0C" w:rsidRDefault="00D62F0C" w:rsidP="00D62F0C">
      <w:pPr>
        <w:spacing w:after="0" w:line="360" w:lineRule="auto"/>
        <w:jc w:val="both"/>
        <w:rPr>
          <w:rFonts w:ascii="Arial" w:eastAsia="Times New Roman" w:hAnsi="Arial" w:cs="David"/>
          <w:b/>
          <w:bCs/>
          <w:noProof/>
          <w:sz w:val="28"/>
          <w:szCs w:val="28"/>
          <w:u w:val="single"/>
          <w:rtl/>
        </w:rPr>
      </w:pPr>
      <w:r w:rsidRPr="00D62F0C">
        <w:rPr>
          <w:rFonts w:ascii="Arial" w:eastAsia="Times New Roman" w:hAnsi="Arial" w:cs="David"/>
          <w:b/>
          <w:bCs/>
          <w:noProof/>
          <w:sz w:val="28"/>
          <w:szCs w:val="28"/>
          <w:highlight w:val="lightGray"/>
          <w:u w:val="single"/>
          <w:rtl/>
        </w:rPr>
        <w:t>עובדות שאינן שנויות במחלוקת</w:t>
      </w:r>
      <w:r w:rsidRPr="00D62F0C">
        <w:rPr>
          <w:rFonts w:ascii="Arial" w:eastAsia="Times New Roman" w:hAnsi="Arial" w:cs="David"/>
          <w:b/>
          <w:bCs/>
          <w:noProof/>
          <w:sz w:val="28"/>
          <w:szCs w:val="28"/>
          <w:u w:val="single"/>
          <w:rtl/>
        </w:rPr>
        <w:t>:</w:t>
      </w:r>
    </w:p>
    <w:p w:rsidR="00D62F0C" w:rsidRPr="00D62F0C" w:rsidRDefault="00D62F0C" w:rsidP="006A2A7E">
      <w:pPr>
        <w:numPr>
          <w:ilvl w:val="0"/>
          <w:numId w:val="1"/>
        </w:numPr>
        <w:spacing w:after="0" w:line="360" w:lineRule="auto"/>
        <w:contextualSpacing/>
        <w:jc w:val="both"/>
        <w:rPr>
          <w:rFonts w:ascii="Arial" w:eastAsia="Times New Roman" w:hAnsi="Arial" w:cs="David"/>
          <w:noProof/>
          <w:sz w:val="24"/>
          <w:szCs w:val="24"/>
          <w:rtl/>
        </w:rPr>
      </w:pPr>
      <w:r w:rsidRPr="00D62F0C">
        <w:rPr>
          <w:rFonts w:ascii="Arial" w:eastAsia="Times New Roman" w:hAnsi="Arial" w:cs="David"/>
          <w:noProof/>
          <w:sz w:val="24"/>
          <w:szCs w:val="24"/>
          <w:rtl/>
        </w:rPr>
        <w:t xml:space="preserve">הנכס נשוא המחלוקת ידוע  כגוש 19055 חלקה </w:t>
      </w:r>
      <w:r w:rsidR="006A2A7E">
        <w:rPr>
          <w:rFonts w:ascii="Arial" w:eastAsia="Times New Roman" w:hAnsi="Arial" w:cs="David" w:hint="cs"/>
          <w:noProof/>
          <w:sz w:val="24"/>
          <w:szCs w:val="24"/>
          <w:rtl/>
        </w:rPr>
        <w:t xml:space="preserve">*** </w:t>
      </w:r>
      <w:r w:rsidRPr="00D62F0C">
        <w:rPr>
          <w:rFonts w:ascii="Arial" w:eastAsia="Times New Roman" w:hAnsi="Arial" w:cs="David"/>
          <w:noProof/>
          <w:sz w:val="24"/>
          <w:szCs w:val="24"/>
          <w:rtl/>
        </w:rPr>
        <w:t xml:space="preserve">באדמות </w:t>
      </w:r>
      <w:r w:rsidR="006A2A7E">
        <w:rPr>
          <w:rFonts w:ascii="Arial" w:eastAsia="Times New Roman" w:hAnsi="Arial" w:cs="David" w:hint="cs"/>
          <w:noProof/>
          <w:sz w:val="24"/>
          <w:szCs w:val="24"/>
          <w:rtl/>
        </w:rPr>
        <w:t xml:space="preserve">*** </w:t>
      </w:r>
      <w:r w:rsidRPr="00D62F0C">
        <w:rPr>
          <w:rFonts w:ascii="Arial" w:eastAsia="Times New Roman" w:hAnsi="Arial" w:cs="David"/>
          <w:noProof/>
          <w:sz w:val="24"/>
          <w:szCs w:val="24"/>
          <w:rtl/>
        </w:rPr>
        <w:t xml:space="preserve">(להלן: </w:t>
      </w:r>
      <w:r w:rsidRPr="00D62F0C">
        <w:rPr>
          <w:rFonts w:ascii="Arial" w:eastAsia="Times New Roman" w:hAnsi="Arial" w:cs="David"/>
          <w:b/>
          <w:bCs/>
          <w:noProof/>
          <w:sz w:val="24"/>
          <w:szCs w:val="24"/>
          <w:rtl/>
        </w:rPr>
        <w:t>"הנכס" או "החלקה"</w:t>
      </w:r>
      <w:r w:rsidRPr="00D62F0C">
        <w:rPr>
          <w:rFonts w:ascii="Arial" w:eastAsia="Times New Roman" w:hAnsi="Arial" w:cs="David"/>
          <w:noProof/>
          <w:sz w:val="24"/>
          <w:szCs w:val="24"/>
          <w:rtl/>
        </w:rPr>
        <w:t xml:space="preserve">). על פי נסח רישום זכויות, מר </w:t>
      </w:r>
      <w:r w:rsidR="006A2A7E">
        <w:rPr>
          <w:rFonts w:ascii="Arial" w:eastAsia="Times New Roman" w:hAnsi="Arial" w:cs="David" w:hint="cs"/>
          <w:noProof/>
          <w:sz w:val="24"/>
          <w:szCs w:val="24"/>
          <w:rtl/>
        </w:rPr>
        <w:t xml:space="preserve">*** </w:t>
      </w:r>
      <w:r w:rsidRPr="00D62F0C">
        <w:rPr>
          <w:rFonts w:ascii="Arial" w:eastAsia="Times New Roman" w:hAnsi="Arial" w:cs="David"/>
          <w:noProof/>
          <w:sz w:val="24"/>
          <w:szCs w:val="24"/>
          <w:rtl/>
        </w:rPr>
        <w:t xml:space="preserve">ז"ל רשום כבעל  851/2321 מהזכויות בנכס.  התובעת, בתו של </w:t>
      </w:r>
      <w:r w:rsidR="006A2A7E">
        <w:rPr>
          <w:rFonts w:ascii="Arial" w:eastAsia="Times New Roman" w:hAnsi="Arial" w:cs="David" w:hint="cs"/>
          <w:noProof/>
          <w:sz w:val="24"/>
          <w:szCs w:val="24"/>
          <w:rtl/>
        </w:rPr>
        <w:t xml:space="preserve">*** </w:t>
      </w:r>
      <w:r w:rsidRPr="00D62F0C">
        <w:rPr>
          <w:rFonts w:ascii="Arial" w:eastAsia="Times New Roman" w:hAnsi="Arial" w:cs="David"/>
          <w:noProof/>
          <w:sz w:val="24"/>
          <w:szCs w:val="24"/>
          <w:rtl/>
        </w:rPr>
        <w:t>ז"ל, קיבלה מאביה במתנה את הזכויות בנכס (ר' דברי ב"כ הנתבע בדיון מיום עמ' 15 שו' 25).</w:t>
      </w:r>
    </w:p>
    <w:p w:rsidR="00D62F0C" w:rsidRPr="00D62F0C" w:rsidRDefault="00D62F0C" w:rsidP="00D62F0C">
      <w:pPr>
        <w:numPr>
          <w:ilvl w:val="0"/>
          <w:numId w:val="1"/>
        </w:numPr>
        <w:spacing w:after="0" w:line="360" w:lineRule="auto"/>
        <w:contextualSpacing/>
        <w:jc w:val="both"/>
        <w:rPr>
          <w:rFonts w:ascii="Arial" w:eastAsia="Times New Roman" w:hAnsi="Arial" w:cs="David"/>
          <w:noProof/>
          <w:sz w:val="24"/>
          <w:szCs w:val="24"/>
          <w:rtl/>
        </w:rPr>
      </w:pPr>
      <w:r w:rsidRPr="00D62F0C">
        <w:rPr>
          <w:rFonts w:ascii="Arial" w:eastAsia="Times New Roman" w:hAnsi="Arial" w:cs="David"/>
          <w:noProof/>
          <w:sz w:val="24"/>
          <w:szCs w:val="24"/>
          <w:rtl/>
        </w:rPr>
        <w:t xml:space="preserve">התובעים בנו על החלקה שני בניינים: הבניין הראשון בעל שתי קומות, וכולל דירה בכל קומה (להלן: </w:t>
      </w:r>
      <w:r w:rsidRPr="00D62F0C">
        <w:rPr>
          <w:rFonts w:ascii="Arial" w:eastAsia="Times New Roman" w:hAnsi="Arial" w:cs="David"/>
          <w:b/>
          <w:bCs/>
          <w:noProof/>
          <w:sz w:val="24"/>
          <w:szCs w:val="24"/>
          <w:rtl/>
        </w:rPr>
        <w:t>"בניין 1" או "הנכס שבמחלוקת").</w:t>
      </w:r>
      <w:r w:rsidRPr="00D62F0C">
        <w:rPr>
          <w:rFonts w:ascii="Arial" w:eastAsia="Times New Roman" w:hAnsi="Arial" w:cs="David"/>
          <w:noProof/>
          <w:sz w:val="24"/>
          <w:szCs w:val="24"/>
          <w:rtl/>
        </w:rPr>
        <w:t xml:space="preserve"> תחילה, התובעים התגוררו בקומה העליונה ולאחר מכן עברו להתגורר בקומת הקרקע.  </w:t>
      </w:r>
    </w:p>
    <w:p w:rsidR="00D62F0C" w:rsidRPr="00D62F0C" w:rsidRDefault="00D62F0C" w:rsidP="00D62F0C">
      <w:pPr>
        <w:spacing w:after="0" w:line="360" w:lineRule="auto"/>
        <w:ind w:left="360"/>
        <w:contextualSpacing/>
        <w:jc w:val="both"/>
        <w:rPr>
          <w:rFonts w:ascii="Arial" w:eastAsia="Times New Roman" w:hAnsi="Arial" w:cs="David"/>
          <w:noProof/>
          <w:sz w:val="24"/>
          <w:szCs w:val="24"/>
          <w:rtl/>
        </w:rPr>
      </w:pPr>
      <w:r w:rsidRPr="00D62F0C">
        <w:rPr>
          <w:rFonts w:ascii="Arial" w:eastAsia="Times New Roman" w:hAnsi="Arial" w:cs="David"/>
          <w:noProof/>
          <w:sz w:val="24"/>
          <w:szCs w:val="24"/>
          <w:rtl/>
        </w:rPr>
        <w:lastRenderedPageBreak/>
        <w:t xml:space="preserve">הבניין השני כולל  4 דירות (להלן </w:t>
      </w:r>
      <w:r w:rsidRPr="00D62F0C">
        <w:rPr>
          <w:rFonts w:ascii="Arial" w:eastAsia="Times New Roman" w:hAnsi="Arial" w:cs="David"/>
          <w:b/>
          <w:bCs/>
          <w:noProof/>
          <w:sz w:val="24"/>
          <w:szCs w:val="24"/>
          <w:rtl/>
        </w:rPr>
        <w:t>"בניין 2"</w:t>
      </w:r>
      <w:r w:rsidRPr="00D62F0C">
        <w:rPr>
          <w:rFonts w:ascii="Arial" w:eastAsia="Times New Roman" w:hAnsi="Arial" w:cs="David"/>
          <w:noProof/>
          <w:sz w:val="24"/>
          <w:szCs w:val="24"/>
          <w:rtl/>
        </w:rPr>
        <w:t xml:space="preserve">). הנתבע, אשתו הראשונה וילידיהם הקטינים (להלן: </w:t>
      </w:r>
      <w:r w:rsidRPr="00D62F0C">
        <w:rPr>
          <w:rFonts w:ascii="Arial" w:eastAsia="Times New Roman" w:hAnsi="Arial" w:cs="David"/>
          <w:b/>
          <w:bCs/>
          <w:noProof/>
          <w:sz w:val="24"/>
          <w:szCs w:val="24"/>
          <w:rtl/>
        </w:rPr>
        <w:t>"הקטינים")</w:t>
      </w:r>
      <w:r w:rsidRPr="00D62F0C">
        <w:rPr>
          <w:rFonts w:ascii="Arial" w:eastAsia="Times New Roman" w:hAnsi="Arial" w:cs="David"/>
          <w:noProof/>
          <w:sz w:val="24"/>
          <w:szCs w:val="24"/>
          <w:rtl/>
        </w:rPr>
        <w:t xml:space="preserve"> התגוררו בדירה שבקומת הקרקע, ובדירות הנוספות התגוררו ילדיהם הנוספים של התובעים. לאחר שהנתבע התגרש, נשארו הוא והקטינים להתגורר בנכס, ובהמשך הצטרפה הנתבעת. בשנת 2015 הנתבעים והתובעים החליפו בינהם דירות. </w:t>
      </w:r>
    </w:p>
    <w:p w:rsidR="00D62F0C" w:rsidRPr="00D62F0C" w:rsidRDefault="00D62F0C" w:rsidP="00D62F0C">
      <w:pPr>
        <w:spacing w:after="0" w:line="240" w:lineRule="auto"/>
        <w:ind w:left="360"/>
        <w:contextualSpacing/>
        <w:jc w:val="both"/>
        <w:rPr>
          <w:rFonts w:ascii="Arial" w:eastAsia="Times New Roman" w:hAnsi="Arial" w:cs="David"/>
          <w:noProof/>
          <w:sz w:val="24"/>
          <w:szCs w:val="24"/>
          <w:rtl/>
        </w:rPr>
      </w:pPr>
    </w:p>
    <w:p w:rsidR="00D62F0C" w:rsidRPr="00D62F0C" w:rsidRDefault="00D62F0C" w:rsidP="006A2A7E">
      <w:pPr>
        <w:numPr>
          <w:ilvl w:val="0"/>
          <w:numId w:val="1"/>
        </w:numPr>
        <w:spacing w:after="0" w:line="360" w:lineRule="auto"/>
        <w:contextualSpacing/>
        <w:jc w:val="both"/>
        <w:rPr>
          <w:rFonts w:ascii="Arial" w:eastAsia="Times New Roman" w:hAnsi="Arial" w:cs="David"/>
          <w:noProof/>
          <w:sz w:val="24"/>
          <w:szCs w:val="24"/>
          <w:rtl/>
        </w:rPr>
      </w:pPr>
      <w:r w:rsidRPr="00D62F0C">
        <w:rPr>
          <w:rFonts w:ascii="Arial" w:eastAsia="Times New Roman" w:hAnsi="Arial" w:cs="David"/>
          <w:noProof/>
          <w:sz w:val="24"/>
          <w:szCs w:val="24"/>
          <w:rtl/>
        </w:rPr>
        <w:t>ביום 1.8.15 חתמו הצדדים על הסכם מכר ללא תמורה ("</w:t>
      </w:r>
      <w:r w:rsidRPr="00D62F0C">
        <w:rPr>
          <w:rFonts w:ascii="Arial" w:eastAsia="Times New Roman" w:hAnsi="Arial" w:cs="David"/>
          <w:b/>
          <w:bCs/>
          <w:noProof/>
          <w:sz w:val="24"/>
          <w:szCs w:val="24"/>
          <w:rtl/>
        </w:rPr>
        <w:t>ההסכם או הסכם מתנה</w:t>
      </w:r>
      <w:r w:rsidRPr="00D62F0C">
        <w:rPr>
          <w:rFonts w:ascii="Arial" w:eastAsia="Times New Roman" w:hAnsi="Arial" w:cs="David"/>
          <w:noProof/>
          <w:sz w:val="24"/>
          <w:szCs w:val="24"/>
          <w:rtl/>
        </w:rPr>
        <w:t xml:space="preserve">") אותו ערך עו"ד </w:t>
      </w:r>
      <w:r w:rsidR="006A2A7E">
        <w:rPr>
          <w:rFonts w:ascii="Arial" w:eastAsia="Times New Roman" w:hAnsi="Arial" w:cs="David" w:hint="cs"/>
          <w:noProof/>
          <w:sz w:val="24"/>
          <w:szCs w:val="24"/>
          <w:rtl/>
        </w:rPr>
        <w:t xml:space="preserve">*** </w:t>
      </w:r>
      <w:r w:rsidRPr="00D62F0C">
        <w:rPr>
          <w:rFonts w:ascii="Arial" w:eastAsia="Times New Roman" w:hAnsi="Arial" w:cs="David"/>
          <w:noProof/>
          <w:sz w:val="24"/>
          <w:szCs w:val="24"/>
          <w:rtl/>
        </w:rPr>
        <w:t>(להלן</w:t>
      </w:r>
      <w:r w:rsidRPr="00D62F0C">
        <w:rPr>
          <w:rFonts w:ascii="Arial" w:eastAsia="Times New Roman" w:hAnsi="Arial" w:cs="David"/>
          <w:b/>
          <w:bCs/>
          <w:noProof/>
          <w:sz w:val="24"/>
          <w:szCs w:val="24"/>
          <w:rtl/>
        </w:rPr>
        <w:t xml:space="preserve">: "עו"ד מנאע"). </w:t>
      </w:r>
      <w:r w:rsidRPr="00D62F0C">
        <w:rPr>
          <w:rFonts w:ascii="Arial" w:eastAsia="Times New Roman" w:hAnsi="Arial" w:cs="David"/>
          <w:noProof/>
          <w:sz w:val="24"/>
          <w:szCs w:val="24"/>
          <w:rtl/>
        </w:rPr>
        <w:t xml:space="preserve">בהתאם להוראותיו, העבירו התובעים  לנתבע במתנה  את הזכויות כדלקמן: </w:t>
      </w:r>
      <w:r w:rsidRPr="00D62F0C">
        <w:rPr>
          <w:rFonts w:ascii="Arial" w:eastAsia="Times New Roman" w:hAnsi="Arial" w:cs="David"/>
          <w:b/>
          <w:bCs/>
          <w:noProof/>
          <w:sz w:val="24"/>
          <w:szCs w:val="24"/>
          <w:rtl/>
        </w:rPr>
        <w:t>"הדירת מגורים בת שתי קומות בשטח</w:t>
      </w:r>
      <w:r w:rsidRPr="00D62F0C">
        <w:rPr>
          <w:rFonts w:ascii="Arial" w:eastAsia="Times New Roman" w:hAnsi="Arial" w:cs="David"/>
          <w:noProof/>
          <w:sz w:val="24"/>
          <w:szCs w:val="24"/>
          <w:rtl/>
        </w:rPr>
        <w:t xml:space="preserve"> </w:t>
      </w:r>
      <w:r w:rsidRPr="00D62F0C">
        <w:rPr>
          <w:rFonts w:ascii="Arial" w:eastAsia="Times New Roman" w:hAnsi="Arial" w:cs="David"/>
          <w:b/>
          <w:bCs/>
          <w:noProof/>
          <w:sz w:val="24"/>
          <w:szCs w:val="24"/>
          <w:rtl/>
        </w:rPr>
        <w:t>כ 111 ממ"ר כ"א המורכבת מ 3 חדרים, מטבח, הול, 2 מרפסות ושרותים וברצון הנותנים להעניק את הדירה</w:t>
      </w:r>
      <w:r w:rsidRPr="00D62F0C">
        <w:rPr>
          <w:rFonts w:ascii="Arial" w:eastAsia="Times New Roman" w:hAnsi="Arial" w:cs="David"/>
          <w:noProof/>
          <w:sz w:val="24"/>
          <w:szCs w:val="24"/>
          <w:rtl/>
        </w:rPr>
        <w:t xml:space="preserve"> </w:t>
      </w:r>
      <w:r w:rsidRPr="00D62F0C">
        <w:rPr>
          <w:rFonts w:ascii="Arial" w:eastAsia="Times New Roman" w:hAnsi="Arial" w:cs="David"/>
          <w:b/>
          <w:bCs/>
          <w:noProof/>
          <w:sz w:val="24"/>
          <w:szCs w:val="24"/>
          <w:rtl/>
        </w:rPr>
        <w:t>הנ"ל בנוסף לשטח אדמה של 30 מ"ר מהחלקה הנ"ל למקבלים. (הדירה יחד עם השטח של 30 מ"ר ייקראו להלן: "הנכס ")."</w:t>
      </w:r>
      <w:r w:rsidRPr="00D62F0C">
        <w:rPr>
          <w:rFonts w:ascii="Arial" w:eastAsia="Times New Roman" w:hAnsi="Arial" w:cs="David"/>
          <w:noProof/>
          <w:sz w:val="24"/>
          <w:szCs w:val="24"/>
          <w:rtl/>
        </w:rPr>
        <w:t xml:space="preserve">  </w:t>
      </w:r>
    </w:p>
    <w:p w:rsidR="00D62F0C" w:rsidRPr="00D62F0C" w:rsidRDefault="00D62F0C" w:rsidP="00D62F0C">
      <w:pPr>
        <w:spacing w:line="360" w:lineRule="auto"/>
        <w:ind w:left="360"/>
        <w:contextualSpacing/>
        <w:jc w:val="both"/>
        <w:rPr>
          <w:rFonts w:ascii="Arial" w:eastAsia="Times New Roman" w:hAnsi="Arial" w:cs="David"/>
          <w:sz w:val="24"/>
          <w:szCs w:val="24"/>
          <w:rtl/>
        </w:rPr>
      </w:pPr>
      <w:r w:rsidRPr="00D62F0C">
        <w:rPr>
          <w:rFonts w:ascii="Arial" w:eastAsia="Times New Roman" w:hAnsi="Arial" w:cs="David"/>
          <w:sz w:val="24"/>
          <w:szCs w:val="24"/>
          <w:rtl/>
        </w:rPr>
        <w:t xml:space="preserve">עוד נקבע  בהסכם: </w:t>
      </w:r>
    </w:p>
    <w:p w:rsidR="00D62F0C" w:rsidRPr="00D62F0C" w:rsidRDefault="00D62F0C" w:rsidP="00D62F0C">
      <w:pPr>
        <w:spacing w:line="360" w:lineRule="auto"/>
        <w:ind w:left="360"/>
        <w:contextualSpacing/>
        <w:jc w:val="both"/>
        <w:rPr>
          <w:rFonts w:ascii="Arial" w:eastAsia="Times New Roman" w:hAnsi="Arial" w:cs="David"/>
          <w:b/>
          <w:bCs/>
          <w:sz w:val="24"/>
          <w:szCs w:val="24"/>
        </w:rPr>
      </w:pPr>
      <w:r w:rsidRPr="00D62F0C">
        <w:rPr>
          <w:rFonts w:ascii="Arial" w:eastAsia="Times New Roman" w:hAnsi="Arial" w:cs="David"/>
          <w:b/>
          <w:bCs/>
          <w:sz w:val="24"/>
          <w:szCs w:val="24"/>
          <w:rtl/>
        </w:rPr>
        <w:t>"4. הנותנים מצהירים כי הם לא יכולים לחזור בהם מהסכמה זו.</w:t>
      </w:r>
    </w:p>
    <w:p w:rsidR="00D62F0C" w:rsidRDefault="00D62F0C" w:rsidP="00D62F0C">
      <w:pPr>
        <w:spacing w:line="360" w:lineRule="auto"/>
        <w:ind w:left="360"/>
        <w:contextualSpacing/>
        <w:jc w:val="both"/>
        <w:rPr>
          <w:rFonts w:ascii="Arial" w:eastAsia="Times New Roman" w:hAnsi="Arial" w:cs="David"/>
          <w:b/>
          <w:bCs/>
          <w:sz w:val="24"/>
          <w:szCs w:val="24"/>
          <w:rtl/>
        </w:rPr>
      </w:pPr>
      <w:r w:rsidRPr="00D62F0C">
        <w:rPr>
          <w:rFonts w:ascii="Arial" w:eastAsia="Times New Roman" w:hAnsi="Arial" w:cs="David"/>
          <w:b/>
          <w:bCs/>
          <w:sz w:val="24"/>
          <w:szCs w:val="24"/>
          <w:rtl/>
        </w:rPr>
        <w:t xml:space="preserve">  5. הצדדים מצהירים כי תוכנו של הסכם זה הוקרא בפניהם, ולאחר שהבנו את תוכנו חתמו עליו מרצונם הטוב והחופשי".  </w:t>
      </w:r>
      <w:r w:rsidRPr="00D62F0C">
        <w:rPr>
          <w:rFonts w:ascii="David" w:eastAsia="Calibri" w:hAnsi="David" w:cs="David"/>
          <w:sz w:val="24"/>
          <w:szCs w:val="24"/>
          <w:rtl/>
        </w:rPr>
        <w:t xml:space="preserve">(להלן: </w:t>
      </w:r>
      <w:r w:rsidRPr="00D62F0C">
        <w:rPr>
          <w:rFonts w:ascii="David" w:eastAsia="Calibri" w:hAnsi="David" w:cs="David"/>
          <w:b/>
          <w:bCs/>
          <w:sz w:val="24"/>
          <w:szCs w:val="24"/>
          <w:rtl/>
        </w:rPr>
        <w:t>"הסכם המתנה"</w:t>
      </w:r>
      <w:r w:rsidRPr="00D62F0C">
        <w:rPr>
          <w:rFonts w:ascii="David" w:eastAsia="Calibri" w:hAnsi="David" w:cs="David"/>
          <w:sz w:val="24"/>
          <w:szCs w:val="24"/>
          <w:rtl/>
        </w:rPr>
        <w:t xml:space="preserve"> </w:t>
      </w:r>
      <w:r w:rsidRPr="00D62F0C">
        <w:rPr>
          <w:rFonts w:ascii="David" w:eastAsia="Calibri" w:hAnsi="David" w:cs="David"/>
          <w:b/>
          <w:bCs/>
          <w:sz w:val="24"/>
          <w:szCs w:val="24"/>
          <w:rtl/>
        </w:rPr>
        <w:t>או "ההסכם")</w:t>
      </w:r>
      <w:r w:rsidR="006A2A7E">
        <w:rPr>
          <w:rFonts w:ascii="Arial" w:eastAsia="Times New Roman" w:hAnsi="Arial" w:cs="David" w:hint="cs"/>
          <w:b/>
          <w:bCs/>
          <w:sz w:val="24"/>
          <w:szCs w:val="24"/>
          <w:rtl/>
        </w:rPr>
        <w:t xml:space="preserve">. </w:t>
      </w:r>
    </w:p>
    <w:p w:rsidR="006A2A7E" w:rsidRDefault="006A2A7E" w:rsidP="006A2A7E">
      <w:pPr>
        <w:spacing w:after="0" w:line="360" w:lineRule="auto"/>
        <w:ind w:left="360"/>
        <w:contextualSpacing/>
        <w:jc w:val="both"/>
        <w:rPr>
          <w:rFonts w:ascii="Arial" w:eastAsia="Times New Roman" w:hAnsi="Arial" w:cs="David"/>
          <w:noProof/>
          <w:sz w:val="24"/>
          <w:szCs w:val="24"/>
        </w:rPr>
      </w:pPr>
    </w:p>
    <w:p w:rsidR="00D62F0C" w:rsidRPr="00D62F0C" w:rsidRDefault="00D62F0C" w:rsidP="00D62F0C">
      <w:pPr>
        <w:numPr>
          <w:ilvl w:val="0"/>
          <w:numId w:val="1"/>
        </w:numPr>
        <w:spacing w:after="0" w:line="360" w:lineRule="auto"/>
        <w:contextualSpacing/>
        <w:jc w:val="both"/>
        <w:rPr>
          <w:rFonts w:ascii="Arial" w:eastAsia="Times New Roman" w:hAnsi="Arial" w:cs="David"/>
          <w:noProof/>
          <w:sz w:val="24"/>
          <w:szCs w:val="24"/>
          <w:rtl/>
        </w:rPr>
      </w:pPr>
      <w:r w:rsidRPr="00D62F0C">
        <w:rPr>
          <w:rFonts w:ascii="Arial" w:eastAsia="Times New Roman" w:hAnsi="Arial" w:cs="David"/>
          <w:noProof/>
          <w:sz w:val="24"/>
          <w:szCs w:val="24"/>
          <w:rtl/>
        </w:rPr>
        <w:t>ביום 7.10.15 פעל עו"ד מנעאע לדיווח העסקה ברשויות המיסים בנצרת (ראה אישורים שצורפו לכתב ההגנה ובכלל זה אישור מס רכישה).</w:t>
      </w:r>
    </w:p>
    <w:p w:rsidR="00D62F0C" w:rsidRPr="00D62F0C" w:rsidRDefault="00D62F0C" w:rsidP="00D62F0C">
      <w:pPr>
        <w:spacing w:line="240" w:lineRule="auto"/>
        <w:ind w:left="360"/>
        <w:contextualSpacing/>
        <w:jc w:val="both"/>
        <w:rPr>
          <w:rFonts w:ascii="Arial" w:eastAsia="Times New Roman" w:hAnsi="Arial" w:cs="David"/>
          <w:noProof/>
          <w:sz w:val="24"/>
          <w:szCs w:val="24"/>
        </w:rPr>
      </w:pPr>
    </w:p>
    <w:p w:rsidR="00D62F0C" w:rsidRPr="00D62F0C" w:rsidRDefault="00D62F0C" w:rsidP="00D62F0C">
      <w:pPr>
        <w:numPr>
          <w:ilvl w:val="0"/>
          <w:numId w:val="1"/>
        </w:numPr>
        <w:spacing w:after="0" w:line="360" w:lineRule="auto"/>
        <w:contextualSpacing/>
        <w:jc w:val="both"/>
        <w:rPr>
          <w:rFonts w:ascii="Arial" w:eastAsia="Times New Roman" w:hAnsi="Arial" w:cs="David"/>
          <w:noProof/>
          <w:sz w:val="24"/>
          <w:szCs w:val="24"/>
        </w:rPr>
      </w:pPr>
      <w:r w:rsidRPr="00D62F0C">
        <w:rPr>
          <w:rFonts w:ascii="Arial" w:eastAsia="Times New Roman" w:hAnsi="Arial" w:cs="David"/>
          <w:noProof/>
          <w:sz w:val="24"/>
          <w:szCs w:val="24"/>
          <w:rtl/>
        </w:rPr>
        <w:t xml:space="preserve"> </w:t>
      </w:r>
      <w:r w:rsidRPr="00D62F0C">
        <w:rPr>
          <w:rFonts w:ascii="Arial" w:eastAsia="Times New Roman" w:hAnsi="Arial" w:cs="David" w:hint="cs"/>
          <w:noProof/>
          <w:sz w:val="24"/>
          <w:szCs w:val="24"/>
          <w:rtl/>
        </w:rPr>
        <w:t xml:space="preserve">לאחר ביצוע העסקה, לא נרשמה הערת אזהרה לטובת הנתבע, ולא חל כל שינוי במצבן הרישומי של  הזכויות כך שאלה נותרו רשומות על שם אבי התובעת. </w:t>
      </w:r>
    </w:p>
    <w:p w:rsidR="00D62F0C" w:rsidRPr="00D62F0C" w:rsidRDefault="00D62F0C" w:rsidP="00D62F0C">
      <w:pPr>
        <w:spacing w:after="0" w:line="240" w:lineRule="auto"/>
        <w:ind w:left="360"/>
        <w:contextualSpacing/>
        <w:jc w:val="both"/>
        <w:rPr>
          <w:rFonts w:ascii="Arial" w:eastAsia="Times New Roman" w:hAnsi="Arial" w:cs="David"/>
          <w:noProof/>
          <w:sz w:val="24"/>
          <w:szCs w:val="24"/>
        </w:rPr>
      </w:pPr>
    </w:p>
    <w:p w:rsidR="00D62F0C" w:rsidRPr="00D62F0C" w:rsidRDefault="00D62F0C" w:rsidP="00D62F0C">
      <w:pPr>
        <w:numPr>
          <w:ilvl w:val="0"/>
          <w:numId w:val="1"/>
        </w:numPr>
        <w:spacing w:after="0" w:line="360" w:lineRule="auto"/>
        <w:contextualSpacing/>
        <w:jc w:val="both"/>
        <w:rPr>
          <w:rFonts w:ascii="Arial" w:eastAsia="Times New Roman" w:hAnsi="Arial" w:cs="David"/>
          <w:noProof/>
          <w:rtl/>
        </w:rPr>
      </w:pPr>
      <w:r w:rsidRPr="00D62F0C">
        <w:rPr>
          <w:rFonts w:ascii="Arial" w:eastAsia="Times New Roman" w:hAnsi="Arial" w:cs="David"/>
          <w:noProof/>
          <w:sz w:val="24"/>
          <w:szCs w:val="24"/>
          <w:rtl/>
        </w:rPr>
        <w:t xml:space="preserve">בנוסף להליך לפניי, בין הצדדים ובני משפחה נוספים התנהלו 9 הליכים שעניינם בקשה למתן צו למניעת אלימות במשפחה או הטרדה מאיימת, שפרטיהם כדלקמן: </w:t>
      </w:r>
    </w:p>
    <w:p w:rsidR="00D62F0C" w:rsidRPr="00D62F0C" w:rsidRDefault="00D62F0C" w:rsidP="00D62F0C">
      <w:pPr>
        <w:numPr>
          <w:ilvl w:val="0"/>
          <w:numId w:val="2"/>
        </w:numPr>
        <w:spacing w:after="0" w:line="360" w:lineRule="auto"/>
        <w:contextualSpacing/>
        <w:jc w:val="both"/>
        <w:rPr>
          <w:rFonts w:ascii="Arial" w:eastAsia="Times New Roman" w:hAnsi="Arial" w:cs="David"/>
          <w:sz w:val="24"/>
          <w:szCs w:val="24"/>
          <w:rtl/>
        </w:rPr>
      </w:pPr>
      <w:r w:rsidRPr="00D62F0C">
        <w:rPr>
          <w:rFonts w:ascii="Arial" w:eastAsia="Times New Roman" w:hAnsi="Arial" w:cs="David"/>
          <w:sz w:val="24"/>
          <w:szCs w:val="24"/>
          <w:rtl/>
        </w:rPr>
        <w:t xml:space="preserve">ביום 5.5.14 ניתן צו הגנה </w:t>
      </w:r>
      <w:r w:rsidRPr="00D62F0C">
        <w:rPr>
          <w:rFonts w:ascii="Arial" w:eastAsia="Times New Roman" w:hAnsi="Arial" w:cs="David"/>
          <w:b/>
          <w:bCs/>
          <w:sz w:val="24"/>
          <w:szCs w:val="24"/>
          <w:rtl/>
        </w:rPr>
        <w:t>הדדי</w:t>
      </w:r>
      <w:r w:rsidRPr="00D62F0C">
        <w:rPr>
          <w:rFonts w:ascii="Arial" w:eastAsia="Times New Roman" w:hAnsi="Arial" w:cs="David"/>
          <w:sz w:val="24"/>
          <w:szCs w:val="24"/>
          <w:rtl/>
        </w:rPr>
        <w:t xml:space="preserve"> בין </w:t>
      </w:r>
      <w:r w:rsidRPr="00D62F0C">
        <w:rPr>
          <w:rFonts w:ascii="Arial" w:eastAsia="Times New Roman" w:hAnsi="Arial" w:cs="David"/>
          <w:b/>
          <w:bCs/>
          <w:sz w:val="24"/>
          <w:szCs w:val="24"/>
          <w:rtl/>
        </w:rPr>
        <w:t>הנתבעת</w:t>
      </w:r>
      <w:r w:rsidRPr="00D62F0C">
        <w:rPr>
          <w:rFonts w:ascii="Arial" w:eastAsia="Times New Roman" w:hAnsi="Arial" w:cs="David"/>
          <w:sz w:val="24"/>
          <w:szCs w:val="24"/>
          <w:rtl/>
        </w:rPr>
        <w:t xml:space="preserve"> לגיסתה, שתוקפו שנה (ה"ט 2036-05-14).</w:t>
      </w:r>
    </w:p>
    <w:p w:rsidR="00D62F0C" w:rsidRPr="00D62F0C" w:rsidRDefault="00D62F0C" w:rsidP="00D62F0C">
      <w:pPr>
        <w:numPr>
          <w:ilvl w:val="0"/>
          <w:numId w:val="2"/>
        </w:numPr>
        <w:spacing w:after="0" w:line="360" w:lineRule="auto"/>
        <w:contextualSpacing/>
        <w:jc w:val="both"/>
        <w:rPr>
          <w:rFonts w:ascii="Arial" w:eastAsia="Times New Roman" w:hAnsi="Arial" w:cs="David"/>
          <w:sz w:val="24"/>
          <w:szCs w:val="24"/>
          <w:rtl/>
        </w:rPr>
      </w:pPr>
      <w:r w:rsidRPr="00D62F0C">
        <w:rPr>
          <w:rFonts w:ascii="Arial" w:eastAsia="Times New Roman" w:hAnsi="Arial" w:cs="David"/>
          <w:sz w:val="24"/>
          <w:szCs w:val="24"/>
          <w:rtl/>
        </w:rPr>
        <w:t xml:space="preserve">ביום 16.2.14 ניתן צו הגנה בין שני אחי הנתבע </w:t>
      </w:r>
      <w:r w:rsidRPr="00D62F0C">
        <w:rPr>
          <w:rFonts w:ascii="Arial" w:eastAsia="Times New Roman" w:hAnsi="Arial" w:cs="David"/>
          <w:b/>
          <w:bCs/>
          <w:sz w:val="24"/>
          <w:szCs w:val="24"/>
          <w:rtl/>
        </w:rPr>
        <w:t>כנגד</w:t>
      </w:r>
      <w:r w:rsidRPr="00D62F0C">
        <w:rPr>
          <w:rFonts w:ascii="Arial" w:eastAsia="Times New Roman" w:hAnsi="Arial" w:cs="David"/>
          <w:sz w:val="24"/>
          <w:szCs w:val="24"/>
          <w:rtl/>
        </w:rPr>
        <w:t xml:space="preserve"> </w:t>
      </w:r>
      <w:r w:rsidRPr="00D62F0C">
        <w:rPr>
          <w:rFonts w:ascii="Arial" w:eastAsia="Times New Roman" w:hAnsi="Arial" w:cs="David"/>
          <w:b/>
          <w:bCs/>
          <w:sz w:val="24"/>
          <w:szCs w:val="24"/>
          <w:rtl/>
        </w:rPr>
        <w:t>הנתבעים</w:t>
      </w:r>
      <w:r w:rsidRPr="00D62F0C">
        <w:rPr>
          <w:rFonts w:ascii="Arial" w:eastAsia="Times New Roman" w:hAnsi="Arial" w:cs="David"/>
          <w:sz w:val="24"/>
          <w:szCs w:val="24"/>
          <w:rtl/>
        </w:rPr>
        <w:t xml:space="preserve"> שתוקפו 90 ימים (ה"ט 30917-02-14).</w:t>
      </w:r>
    </w:p>
    <w:p w:rsidR="00D62F0C" w:rsidRPr="00D62F0C" w:rsidRDefault="00D62F0C" w:rsidP="00D62F0C">
      <w:pPr>
        <w:numPr>
          <w:ilvl w:val="0"/>
          <w:numId w:val="2"/>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t xml:space="preserve">ביום 13.3.14 ניתן צו הגנה </w:t>
      </w:r>
      <w:r w:rsidRPr="00D62F0C">
        <w:rPr>
          <w:rFonts w:ascii="Arial" w:eastAsia="Times New Roman" w:hAnsi="Arial" w:cs="David"/>
          <w:b/>
          <w:bCs/>
          <w:sz w:val="24"/>
          <w:szCs w:val="24"/>
          <w:rtl/>
        </w:rPr>
        <w:t>לנתבעים</w:t>
      </w:r>
      <w:r w:rsidRPr="00D62F0C">
        <w:rPr>
          <w:rFonts w:ascii="Arial" w:eastAsia="Times New Roman" w:hAnsi="Arial" w:cs="David"/>
          <w:sz w:val="24"/>
          <w:szCs w:val="24"/>
          <w:rtl/>
        </w:rPr>
        <w:t xml:space="preserve"> כנגד שני אחי הנתבע שתוקפו 90 ימים (ה"ט 27508-03-14).</w:t>
      </w:r>
    </w:p>
    <w:p w:rsidR="00D62F0C" w:rsidRPr="00D62F0C" w:rsidRDefault="00D62F0C" w:rsidP="00D62F0C">
      <w:pPr>
        <w:numPr>
          <w:ilvl w:val="0"/>
          <w:numId w:val="2"/>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t xml:space="preserve">ביום 9.5.17 ניתן צו הגנה </w:t>
      </w:r>
      <w:r w:rsidRPr="00D62F0C">
        <w:rPr>
          <w:rFonts w:ascii="Arial" w:eastAsia="Times New Roman" w:hAnsi="Arial" w:cs="David"/>
          <w:b/>
          <w:bCs/>
          <w:sz w:val="24"/>
          <w:szCs w:val="24"/>
          <w:rtl/>
        </w:rPr>
        <w:t>הדדי</w:t>
      </w:r>
      <w:r w:rsidRPr="00D62F0C">
        <w:rPr>
          <w:rFonts w:ascii="Arial" w:eastAsia="Times New Roman" w:hAnsi="Arial" w:cs="David"/>
          <w:sz w:val="24"/>
          <w:szCs w:val="24"/>
          <w:rtl/>
        </w:rPr>
        <w:t xml:space="preserve"> בין </w:t>
      </w:r>
      <w:r w:rsidRPr="00D62F0C">
        <w:rPr>
          <w:rFonts w:ascii="Arial" w:eastAsia="Times New Roman" w:hAnsi="Arial" w:cs="David"/>
          <w:b/>
          <w:bCs/>
          <w:sz w:val="24"/>
          <w:szCs w:val="24"/>
          <w:rtl/>
        </w:rPr>
        <w:t>הנתבעת</w:t>
      </w:r>
      <w:r w:rsidRPr="00D62F0C">
        <w:rPr>
          <w:rFonts w:ascii="Arial" w:eastAsia="Times New Roman" w:hAnsi="Arial" w:cs="David"/>
          <w:sz w:val="24"/>
          <w:szCs w:val="24"/>
          <w:rtl/>
        </w:rPr>
        <w:t xml:space="preserve"> לגיסתה שתוקפו 90 ימים (ה"ט 16863-05-17). </w:t>
      </w:r>
    </w:p>
    <w:p w:rsidR="00D62F0C" w:rsidRPr="00D62F0C" w:rsidRDefault="00D62F0C" w:rsidP="00D62F0C">
      <w:pPr>
        <w:numPr>
          <w:ilvl w:val="0"/>
          <w:numId w:val="2"/>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t xml:space="preserve">ביום 16.5.17 ניתן צו הגנה </w:t>
      </w:r>
      <w:r w:rsidRPr="00D62F0C">
        <w:rPr>
          <w:rFonts w:ascii="Arial" w:eastAsia="Times New Roman" w:hAnsi="Arial" w:cs="David"/>
          <w:b/>
          <w:bCs/>
          <w:sz w:val="24"/>
          <w:szCs w:val="24"/>
          <w:rtl/>
        </w:rPr>
        <w:t>הדדי</w:t>
      </w:r>
      <w:r w:rsidRPr="00D62F0C">
        <w:rPr>
          <w:rFonts w:ascii="Arial" w:eastAsia="Times New Roman" w:hAnsi="Arial" w:cs="David"/>
          <w:sz w:val="24"/>
          <w:szCs w:val="24"/>
          <w:rtl/>
        </w:rPr>
        <w:t xml:space="preserve"> </w:t>
      </w:r>
      <w:r w:rsidRPr="00D62F0C">
        <w:rPr>
          <w:rFonts w:ascii="Arial" w:eastAsia="Times New Roman" w:hAnsi="Arial" w:cs="David"/>
          <w:b/>
          <w:bCs/>
          <w:sz w:val="24"/>
          <w:szCs w:val="24"/>
          <w:rtl/>
        </w:rPr>
        <w:t>בין צדדים</w:t>
      </w:r>
      <w:r w:rsidRPr="00D62F0C">
        <w:rPr>
          <w:rFonts w:ascii="Arial" w:eastAsia="Times New Roman" w:hAnsi="Arial" w:cs="David"/>
          <w:sz w:val="24"/>
          <w:szCs w:val="24"/>
          <w:rtl/>
        </w:rPr>
        <w:t xml:space="preserve"> ליתר אחי הנתבע שתוקפו 90 ימים (ה"ט 32897-05-17).</w:t>
      </w:r>
    </w:p>
    <w:p w:rsidR="00D62F0C" w:rsidRPr="00D62F0C" w:rsidRDefault="00D62F0C" w:rsidP="00D62F0C">
      <w:pPr>
        <w:numPr>
          <w:ilvl w:val="0"/>
          <w:numId w:val="2"/>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t xml:space="preserve">ביום 11.2.19 נדחתה בקשת התובעים לצו הגנה (בה"ט </w:t>
      </w:r>
      <w:r w:rsidRPr="00D62F0C">
        <w:rPr>
          <w:rFonts w:ascii="Calibri" w:eastAsia="Calibri" w:hAnsi="Calibri" w:cs="Arial"/>
          <w:rtl/>
        </w:rPr>
        <w:t xml:space="preserve"> </w:t>
      </w:r>
      <w:r w:rsidRPr="00D62F0C">
        <w:rPr>
          <w:rFonts w:ascii="Arial" w:eastAsia="Times New Roman" w:hAnsi="Arial" w:cs="David"/>
          <w:sz w:val="24"/>
          <w:szCs w:val="24"/>
          <w:rtl/>
        </w:rPr>
        <w:t>24742-02-19).</w:t>
      </w:r>
    </w:p>
    <w:p w:rsidR="00D62F0C" w:rsidRPr="00D62F0C" w:rsidRDefault="00D62F0C" w:rsidP="00D62F0C">
      <w:pPr>
        <w:numPr>
          <w:ilvl w:val="0"/>
          <w:numId w:val="2"/>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t xml:space="preserve">ביום 19.7.20 ניתן צו הגנה </w:t>
      </w:r>
      <w:r w:rsidRPr="00D62F0C">
        <w:rPr>
          <w:rFonts w:ascii="Arial" w:eastAsia="Times New Roman" w:hAnsi="Arial" w:cs="David"/>
          <w:b/>
          <w:bCs/>
          <w:sz w:val="24"/>
          <w:szCs w:val="24"/>
          <w:rtl/>
        </w:rPr>
        <w:t>הדדי</w:t>
      </w:r>
      <w:r w:rsidRPr="00D62F0C">
        <w:rPr>
          <w:rFonts w:ascii="Arial" w:eastAsia="Times New Roman" w:hAnsi="Arial" w:cs="David"/>
          <w:sz w:val="24"/>
          <w:szCs w:val="24"/>
          <w:rtl/>
        </w:rPr>
        <w:t xml:space="preserve"> בין </w:t>
      </w:r>
      <w:r w:rsidRPr="00D62F0C">
        <w:rPr>
          <w:rFonts w:ascii="Arial" w:eastAsia="Times New Roman" w:hAnsi="Arial" w:cs="David"/>
          <w:b/>
          <w:bCs/>
          <w:sz w:val="24"/>
          <w:szCs w:val="24"/>
          <w:rtl/>
        </w:rPr>
        <w:t>התובעת לנתבע</w:t>
      </w:r>
      <w:r w:rsidRPr="00D62F0C">
        <w:rPr>
          <w:rFonts w:ascii="Arial" w:eastAsia="Times New Roman" w:hAnsi="Arial" w:cs="David"/>
          <w:sz w:val="24"/>
          <w:szCs w:val="24"/>
          <w:rtl/>
        </w:rPr>
        <w:t xml:space="preserve"> שתוקפו 90 ימים (ה"ט 40611-07-20).</w:t>
      </w:r>
    </w:p>
    <w:p w:rsidR="00D62F0C" w:rsidRPr="00D62F0C" w:rsidRDefault="00D62F0C" w:rsidP="00D62F0C">
      <w:pPr>
        <w:numPr>
          <w:ilvl w:val="0"/>
          <w:numId w:val="2"/>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lastRenderedPageBreak/>
        <w:t xml:space="preserve">ביום 18.10.20 ניתן צו הגנה </w:t>
      </w:r>
      <w:r w:rsidRPr="00D62F0C">
        <w:rPr>
          <w:rFonts w:ascii="Arial" w:eastAsia="Times New Roman" w:hAnsi="Arial" w:cs="David"/>
          <w:b/>
          <w:bCs/>
          <w:sz w:val="24"/>
          <w:szCs w:val="24"/>
          <w:rtl/>
        </w:rPr>
        <w:t>הדדי</w:t>
      </w:r>
      <w:r w:rsidRPr="00D62F0C">
        <w:rPr>
          <w:rFonts w:ascii="Arial" w:eastAsia="Times New Roman" w:hAnsi="Arial" w:cs="David"/>
          <w:sz w:val="24"/>
          <w:szCs w:val="24"/>
          <w:rtl/>
        </w:rPr>
        <w:t xml:space="preserve"> בין </w:t>
      </w:r>
      <w:r w:rsidRPr="00D62F0C">
        <w:rPr>
          <w:rFonts w:ascii="Arial" w:eastAsia="Times New Roman" w:hAnsi="Arial" w:cs="David"/>
          <w:b/>
          <w:bCs/>
          <w:sz w:val="24"/>
          <w:szCs w:val="24"/>
          <w:rtl/>
        </w:rPr>
        <w:t>הנתבע</w:t>
      </w:r>
      <w:r w:rsidRPr="00D62F0C">
        <w:rPr>
          <w:rFonts w:ascii="Arial" w:eastAsia="Times New Roman" w:hAnsi="Arial" w:cs="David"/>
          <w:sz w:val="24"/>
          <w:szCs w:val="24"/>
          <w:rtl/>
        </w:rPr>
        <w:t xml:space="preserve"> לאחיו שתוקפו  90 ימים (ה"ט 29880-10-20).</w:t>
      </w:r>
    </w:p>
    <w:p w:rsidR="00D62F0C" w:rsidRPr="00D62F0C" w:rsidRDefault="00D62F0C" w:rsidP="00D62F0C">
      <w:pPr>
        <w:numPr>
          <w:ilvl w:val="0"/>
          <w:numId w:val="2"/>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t xml:space="preserve">ביום 17.6.21 ניתן צו הגנה </w:t>
      </w:r>
      <w:r w:rsidRPr="00D62F0C">
        <w:rPr>
          <w:rFonts w:ascii="Arial" w:eastAsia="Times New Roman" w:hAnsi="Arial" w:cs="David"/>
          <w:b/>
          <w:bCs/>
          <w:sz w:val="24"/>
          <w:szCs w:val="24"/>
          <w:rtl/>
        </w:rPr>
        <w:t>הדדי</w:t>
      </w:r>
      <w:r w:rsidRPr="00D62F0C">
        <w:rPr>
          <w:rFonts w:ascii="Arial" w:eastAsia="Times New Roman" w:hAnsi="Arial" w:cs="David"/>
          <w:sz w:val="24"/>
          <w:szCs w:val="24"/>
          <w:rtl/>
        </w:rPr>
        <w:t xml:space="preserve"> </w:t>
      </w:r>
      <w:r w:rsidRPr="00D62F0C">
        <w:rPr>
          <w:rFonts w:ascii="Arial" w:eastAsia="Times New Roman" w:hAnsi="Arial" w:cs="David"/>
          <w:b/>
          <w:bCs/>
          <w:sz w:val="24"/>
          <w:szCs w:val="24"/>
          <w:rtl/>
        </w:rPr>
        <w:t>בין צדדים</w:t>
      </w:r>
      <w:r w:rsidRPr="00D62F0C">
        <w:rPr>
          <w:rFonts w:ascii="Arial" w:eastAsia="Times New Roman" w:hAnsi="Arial" w:cs="David"/>
          <w:sz w:val="24"/>
          <w:szCs w:val="24"/>
          <w:rtl/>
        </w:rPr>
        <w:t xml:space="preserve"> שתוקפו 90 ימים (ה"ט 58954-06-21).</w:t>
      </w:r>
    </w:p>
    <w:p w:rsidR="00D62F0C" w:rsidRPr="00D62F0C" w:rsidRDefault="00D62F0C" w:rsidP="00D62F0C">
      <w:pPr>
        <w:spacing w:line="240" w:lineRule="auto"/>
        <w:ind w:left="360"/>
        <w:contextualSpacing/>
        <w:jc w:val="both"/>
        <w:rPr>
          <w:rFonts w:ascii="Arial" w:eastAsia="Times New Roman" w:hAnsi="Arial" w:cs="David"/>
          <w:sz w:val="24"/>
          <w:szCs w:val="24"/>
        </w:rPr>
      </w:pPr>
    </w:p>
    <w:p w:rsidR="00D62F0C" w:rsidRPr="00D62F0C" w:rsidRDefault="00D62F0C" w:rsidP="00D62F0C">
      <w:pPr>
        <w:spacing w:after="0" w:line="360" w:lineRule="auto"/>
        <w:jc w:val="both"/>
        <w:rPr>
          <w:rFonts w:ascii="Arial" w:eastAsia="Times New Roman" w:hAnsi="Arial" w:cs="David"/>
          <w:b/>
          <w:bCs/>
          <w:noProof/>
          <w:sz w:val="32"/>
          <w:szCs w:val="32"/>
          <w:u w:val="single"/>
        </w:rPr>
      </w:pPr>
      <w:r w:rsidRPr="00D62F0C">
        <w:rPr>
          <w:rFonts w:ascii="Arial" w:eastAsia="Times New Roman" w:hAnsi="Arial" w:cs="David"/>
          <w:b/>
          <w:bCs/>
          <w:noProof/>
          <w:sz w:val="32"/>
          <w:szCs w:val="32"/>
          <w:highlight w:val="lightGray"/>
          <w:u w:val="single"/>
          <w:rtl/>
        </w:rPr>
        <w:t>עיקר טענות הצדדים:</w:t>
      </w:r>
    </w:p>
    <w:p w:rsidR="00D62F0C" w:rsidRPr="00D62F0C" w:rsidRDefault="00D62F0C" w:rsidP="00D62F0C">
      <w:pPr>
        <w:spacing w:after="0" w:line="240" w:lineRule="auto"/>
        <w:jc w:val="both"/>
        <w:rPr>
          <w:rFonts w:ascii="Arial" w:eastAsia="Times New Roman" w:hAnsi="Arial" w:cs="David"/>
          <w:b/>
          <w:bCs/>
          <w:noProof/>
          <w:sz w:val="24"/>
          <w:szCs w:val="24"/>
          <w:u w:val="single"/>
          <w:rtl/>
        </w:rPr>
      </w:pPr>
    </w:p>
    <w:p w:rsidR="00D62F0C" w:rsidRPr="00D62F0C" w:rsidRDefault="00D62F0C" w:rsidP="00D62F0C">
      <w:pPr>
        <w:spacing w:after="0" w:line="360" w:lineRule="auto"/>
        <w:jc w:val="both"/>
        <w:rPr>
          <w:rFonts w:ascii="Arial" w:eastAsia="Times New Roman" w:hAnsi="Arial" w:cs="David"/>
          <w:b/>
          <w:bCs/>
          <w:noProof/>
          <w:sz w:val="28"/>
          <w:szCs w:val="28"/>
          <w:u w:val="single"/>
          <w:rtl/>
        </w:rPr>
      </w:pPr>
      <w:r w:rsidRPr="00D62F0C">
        <w:rPr>
          <w:rFonts w:ascii="Arial" w:eastAsia="Times New Roman" w:hAnsi="Arial" w:cs="David"/>
          <w:b/>
          <w:bCs/>
          <w:noProof/>
          <w:sz w:val="28"/>
          <w:szCs w:val="28"/>
          <w:u w:val="single"/>
          <w:rtl/>
        </w:rPr>
        <w:t>טענות התובעים;</w:t>
      </w:r>
    </w:p>
    <w:p w:rsidR="00D62F0C" w:rsidRPr="00D62F0C" w:rsidRDefault="00D62F0C" w:rsidP="00D62F0C">
      <w:pPr>
        <w:numPr>
          <w:ilvl w:val="0"/>
          <w:numId w:val="1"/>
        </w:numPr>
        <w:spacing w:after="0" w:line="360" w:lineRule="auto"/>
        <w:contextualSpacing/>
        <w:jc w:val="both"/>
        <w:rPr>
          <w:rFonts w:ascii="Arial" w:eastAsia="Times New Roman" w:hAnsi="Arial" w:cs="David"/>
          <w:sz w:val="24"/>
          <w:szCs w:val="24"/>
          <w:rtl/>
        </w:rPr>
      </w:pPr>
      <w:r w:rsidRPr="00D62F0C">
        <w:rPr>
          <w:rFonts w:ascii="Arial" w:eastAsia="Times New Roman" w:hAnsi="Arial" w:cs="David"/>
          <w:sz w:val="24"/>
          <w:szCs w:val="24"/>
          <w:rtl/>
        </w:rPr>
        <w:t>המדובר בחוזה בין הצדדים ויש להורות על ביטולו מחמת הטעיה, טעות, חוסר תום לב ואי קיום תנאי מתלה</w:t>
      </w:r>
      <w:r w:rsidRPr="00D62F0C">
        <w:rPr>
          <w:rFonts w:ascii="Arial" w:eastAsia="Times New Roman" w:hAnsi="Arial" w:cs="David"/>
          <w:b/>
          <w:bCs/>
          <w:sz w:val="24"/>
          <w:szCs w:val="24"/>
          <w:rtl/>
        </w:rPr>
        <w:t xml:space="preserve"> </w:t>
      </w:r>
      <w:r w:rsidRPr="00D62F0C">
        <w:rPr>
          <w:rFonts w:ascii="Arial" w:eastAsia="Times New Roman" w:hAnsi="Arial" w:cs="David"/>
          <w:sz w:val="24"/>
          <w:szCs w:val="24"/>
          <w:rtl/>
        </w:rPr>
        <w:t>לפי סעיפים 12, 15, 14 ו- 77(א)  לחוק החוזים (חלק כללי) תשל"ג 1973 (להלן: "</w:t>
      </w:r>
      <w:r w:rsidRPr="00D62F0C">
        <w:rPr>
          <w:rFonts w:ascii="Arial" w:eastAsia="Times New Roman" w:hAnsi="Arial" w:cs="David"/>
          <w:b/>
          <w:bCs/>
          <w:sz w:val="24"/>
          <w:szCs w:val="24"/>
          <w:rtl/>
        </w:rPr>
        <w:t>חוק החוזים</w:t>
      </w:r>
      <w:r w:rsidRPr="00D62F0C">
        <w:rPr>
          <w:rFonts w:ascii="Arial" w:eastAsia="Times New Roman" w:hAnsi="Arial" w:cs="David"/>
          <w:sz w:val="24"/>
          <w:szCs w:val="24"/>
          <w:rtl/>
        </w:rPr>
        <w:t>"); ההסכם אינו משקף את רצון נותני המתנה והם לא היו חותמים עליו אילו ידעו שהקטינים אינם מוזכרים כמוטבים האמיתיים, שתיאור הנכס שגוי, או שמתחייבים שלא לחזור בהם מהסכם המתנה. בכתבי תביעות ובתצהיר עדות ראשית גרסו שהנתבע ערך מסע שכנועים ארוך לשכנע אותם להעביר לו במתנה את הדירה. כך גם הנתבע ניצל את אי בקיאותם בשפה העברית והחתים אותם על סעיף אי חזרה. במהלך חקירתם לא נשאלו אף שאלה בעניין קריאת ההסכם, הבנת תוכנו או אם יודעים לקרוא ולכתוב עברית.</w:t>
      </w:r>
    </w:p>
    <w:p w:rsidR="00D62F0C" w:rsidRPr="00D62F0C" w:rsidRDefault="00D62F0C" w:rsidP="00D62F0C">
      <w:pPr>
        <w:spacing w:after="0" w:line="240" w:lineRule="auto"/>
        <w:ind w:left="360"/>
        <w:contextualSpacing/>
        <w:jc w:val="both"/>
        <w:rPr>
          <w:rFonts w:ascii="Arial" w:eastAsia="Times New Roman" w:hAnsi="Arial" w:cs="David"/>
          <w:sz w:val="24"/>
          <w:szCs w:val="24"/>
        </w:rPr>
      </w:pPr>
    </w:p>
    <w:p w:rsidR="00D62F0C" w:rsidRPr="00D62F0C" w:rsidRDefault="00D62F0C" w:rsidP="006A2A7E">
      <w:pPr>
        <w:numPr>
          <w:ilvl w:val="0"/>
          <w:numId w:val="1"/>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t xml:space="preserve">עוד טוענים לטעות והטעיה בתיאור הנכס כך שבהסכם קיימת עמימות ואי בהירות בתיאורו כשהוצג באותיות קטנות ובאופן לא ברור, בהונאה ומרמה. כך מצויין בהסכם "דירת מגורים בת שתי קומות בשטח 115 ממ"ר כ"א", תיאור שאינו משקף נכונה את מצב הנכס שכן לא קיימת דירה בת קומתיים, אלא בניין שיש בו שתי דירות נפרדות. בנוסף, מעולם לא סוכם על מתן שתי דירות או שתי קומות, אלא דירה אחת בקומה הראשונה בלבד;  גרסת הנתבעים בעניין תיאור הנכס לא הייתה עקבית, והיו בה סתירות רבות כולל הרחבת חזית, ועל כן אין לקבלה. כך לדוגמא, בסעיף 71 לכתב הגנתם הראשון טענו הנתבעים שהוחלפה "דירה מול דירה" אך בסעיף  16 לכתב הגנתם המתוקן טענו שדובר על "דירה בת שתי קומות", ובהמשך, בקדם המשפט מיום 27.2.20, ב"כ הנתבע גרס כי "עכשיו גיליתי מהמסכמים זה שמדובר בבניין"; בנוסף, בעדותו טען הנתבע שהתובעת "הבטיחה לאשתי שנחליף דירות" ואז טען שדובר על קומה שנייה לקטינים. הנתבע הודה שלא התייחס בפועל לקבלת הדירה השנייה כחלק מההסכם, ולא נקט בשום פעולה בנכס. גם הנתבעת מסרה שלוש גרסאות שונות לתיאור הנכס ובכתב הגנתה המתוקן התייחסה לבניין שלם, אך הסכימה שכתב ההגנה מטעם הנתבע ישמש ככתב הגנתה, ומכאן שהתייחסה לדירה כגרסתו. גרסה שלישית מסרה בעדותה לפיה דובר על החלפת דירה עם שתי הדירות. </w:t>
      </w:r>
    </w:p>
    <w:p w:rsidR="00D62F0C" w:rsidRPr="00D62F0C" w:rsidRDefault="00D62F0C" w:rsidP="00D62F0C">
      <w:pPr>
        <w:spacing w:after="0" w:line="360" w:lineRule="auto"/>
        <w:ind w:left="360"/>
        <w:contextualSpacing/>
        <w:jc w:val="both"/>
        <w:rPr>
          <w:rFonts w:ascii="Arial" w:eastAsia="Times New Roman" w:hAnsi="Arial" w:cs="David"/>
          <w:sz w:val="24"/>
          <w:szCs w:val="24"/>
        </w:rPr>
      </w:pPr>
    </w:p>
    <w:p w:rsidR="00D62F0C" w:rsidRPr="00D62F0C" w:rsidRDefault="00D62F0C" w:rsidP="006A2A7E">
      <w:pPr>
        <w:numPr>
          <w:ilvl w:val="0"/>
          <w:numId w:val="1"/>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t xml:space="preserve">התובעים גורסים שעו"ד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פעל לשמירת האינטרס של הנתבע, מקבל המתנה, ולא שלהם כנותני המתנה, ובהתנהלותו יש להוכיח שההסכם נחתם בטעות. בנוסף, 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לא ערך את ההסכם כראוי, עשה יד אחת עם הנתבע ובשל כך נמנע להתייצב לדיון. הנתבע הודה בחקירתו </w:t>
      </w:r>
      <w:r w:rsidRPr="00D62F0C">
        <w:rPr>
          <w:rFonts w:ascii="Arial" w:eastAsia="Times New Roman" w:hAnsi="Arial" w:cs="David"/>
          <w:sz w:val="24"/>
          <w:szCs w:val="24"/>
          <w:rtl/>
        </w:rPr>
        <w:lastRenderedPageBreak/>
        <w:t xml:space="preserve">שעו"ד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ייצג אותו בהליכים שונים עובר לחתימת ההסכם, וגם אחריו. עוד טען תחילה שהתובעים שילמו לעו"ד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על עריכת ההסכם אך בחקירתו הודה  ששילם לו בעצמו.</w:t>
      </w:r>
    </w:p>
    <w:p w:rsidR="00D62F0C" w:rsidRPr="00D62F0C" w:rsidRDefault="00D62F0C" w:rsidP="00D62F0C">
      <w:pPr>
        <w:spacing w:after="0" w:line="240" w:lineRule="auto"/>
        <w:ind w:left="360"/>
        <w:contextualSpacing/>
        <w:jc w:val="both"/>
        <w:rPr>
          <w:rFonts w:ascii="Arial" w:eastAsia="Times New Roman" w:hAnsi="Arial" w:cs="David"/>
          <w:sz w:val="24"/>
          <w:szCs w:val="24"/>
          <w:rtl/>
        </w:rPr>
      </w:pPr>
    </w:p>
    <w:p w:rsidR="00D62F0C" w:rsidRPr="00D62F0C" w:rsidRDefault="00D62F0C" w:rsidP="006A2A7E">
      <w:pPr>
        <w:numPr>
          <w:ilvl w:val="0"/>
          <w:numId w:val="1"/>
        </w:numPr>
        <w:spacing w:after="0" w:line="360" w:lineRule="auto"/>
        <w:contextualSpacing/>
        <w:jc w:val="both"/>
        <w:rPr>
          <w:rFonts w:ascii="Arial" w:eastAsia="Times New Roman" w:hAnsi="Arial" w:cs="David"/>
          <w:sz w:val="24"/>
          <w:szCs w:val="24"/>
          <w:rtl/>
        </w:rPr>
      </w:pPr>
      <w:r w:rsidRPr="00D62F0C">
        <w:rPr>
          <w:rFonts w:ascii="Arial" w:eastAsia="Times New Roman" w:hAnsi="Arial" w:cs="David"/>
          <w:sz w:val="24"/>
          <w:szCs w:val="24"/>
          <w:rtl/>
        </w:rPr>
        <w:t xml:space="preserve">עוד סבורים התובעים שהתנאי המתלה בהסכם לא קוים ועל כן ההסכם חסר נפקות משפטית לפי סעיף 72(א) לחוק החוזים; לדידם, התנאי לקיום הסכם היה הבטחת קורת גג עבור הקטינים וזאת לאחר שהתחתן בשנית והיה ברור שירחיב משפחתו. לכן הסכימו לחילופי דירות בדירתם שהייתה מרווחת וגדולה יותר, וגרסתם זו הוכחה בעדות התובעת והבן </w:t>
      </w:r>
      <w:r w:rsidR="006A2A7E">
        <w:rPr>
          <w:rFonts w:ascii="Arial" w:eastAsia="Times New Roman" w:hAnsi="Arial" w:cs="David" w:hint="cs"/>
          <w:sz w:val="24"/>
          <w:szCs w:val="24"/>
          <w:rtl/>
        </w:rPr>
        <w:t>***</w:t>
      </w:r>
      <w:r w:rsidRPr="00D62F0C">
        <w:rPr>
          <w:rFonts w:ascii="Arial" w:eastAsia="Times New Roman" w:hAnsi="Arial" w:cs="David"/>
          <w:sz w:val="24"/>
          <w:szCs w:val="24"/>
          <w:rtl/>
        </w:rPr>
        <w:t xml:space="preserve">, שלא הופרכה. כך גם עוה"ד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כתב בתגובתו שהבהיר לתובעים כי הנתבע חותם על ההסכם בהיותו אבי הקטינים והאפוטרופוס הטבעי והחוקי שלהם, ולכן לא ניתן לרשום את הזכויות בנכס על שמם. גם גרסתם זו לא נסתרה ע"י הנתבע שאף הודה כי מטרת ההחלפה הייתה לטובת הקטינים. וחרף זאת, התנאי המתלה לא קויים ורצונם כנותני מתנה לא התממש.  בסמוך לאחר חתימת ההסכם, הנתבע הפר את התנאי ואת התחייבותו לטפל ולגדל את הקטינים כנגד קבלת הבית, והעביר אותם לפנימייה באופן טראומתי ושובר לב עבור התובעים. הנתבע גרס בתצהירו בבקשה למתן צו ההגנה שמסר בעצמו את הילדים "לגורמי הרווחה (לפנימייה) עקב סכסוכים עם משפחתו", אולם, בכתבי הגנתו, טען שהתנגד לוויתור על הקטינים ואף התחיל במסע החזרתם, אך סירב לצרף כל אסמכתא לכך. מנגד, בעדותו טען הנתבע גרסה חדשה, שהינה בבחינת הרחבת חזית אסורה, להוצאת הקטינים לפנימייה לפיה הם מסוכנים. מעדות הנתבע ניראה שקיים נתק בינו לבין הקטינים, יחסיהם אינם תקינים ואינו מדבר עם בתו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הבגירה. על כן, לאחר שהנתבע ויתר על הקטינים, פנו לעו"ד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לקבלת ההסכם ושלחו לו מכתב, אך זה  לא נענה לפניותיהם, ואז החלו לחשוש לגבי תוכנו של ההסכם.</w:t>
      </w:r>
    </w:p>
    <w:p w:rsidR="00D62F0C" w:rsidRPr="00D62F0C" w:rsidRDefault="00D62F0C" w:rsidP="00D62F0C">
      <w:pPr>
        <w:spacing w:after="0" w:line="240" w:lineRule="auto"/>
        <w:ind w:left="360"/>
        <w:contextualSpacing/>
        <w:jc w:val="both"/>
        <w:rPr>
          <w:rFonts w:ascii="Arial" w:eastAsia="Times New Roman" w:hAnsi="Arial" w:cs="David"/>
          <w:sz w:val="24"/>
          <w:szCs w:val="24"/>
        </w:rPr>
      </w:pPr>
    </w:p>
    <w:p w:rsidR="00D62F0C" w:rsidRPr="00D62F0C" w:rsidRDefault="00D62F0C" w:rsidP="006A2A7E">
      <w:pPr>
        <w:numPr>
          <w:ilvl w:val="0"/>
          <w:numId w:val="1"/>
        </w:numPr>
        <w:spacing w:after="0" w:line="360" w:lineRule="auto"/>
        <w:contextualSpacing/>
        <w:jc w:val="both"/>
        <w:rPr>
          <w:rFonts w:ascii="Arial" w:eastAsia="Times New Roman" w:hAnsi="Arial" w:cs="David"/>
          <w:sz w:val="24"/>
          <w:szCs w:val="24"/>
          <w:rtl/>
        </w:rPr>
      </w:pPr>
      <w:r w:rsidRPr="00D62F0C">
        <w:rPr>
          <w:rFonts w:ascii="Arial" w:eastAsia="Times New Roman" w:hAnsi="Arial" w:cs="David"/>
          <w:sz w:val="24"/>
          <w:szCs w:val="24"/>
          <w:rtl/>
        </w:rPr>
        <w:t>בנוסף, ההסכם הינו בבחינת התחייבות להענקת מתנה ואין המדובר בעסקת מתנה מוגמרת שכן לפי סעיף 7(ב) לחוק המקרקעין, עסקת מתנה במקרקעין שלא נגמרה ברישום רואים אותה כהתחייבות לעשות עסקה. מכאן, בהתאם להוראת סעיף 5 (ב) לחוק המתנה,  הם רשאים לחזור בהם מהעסקה, שכן הנתבע לא שינה את מצבו בהסתמך על המתנה. כך גם, בהתאם להוראת סעיף 5(ב) לחוק המתנה קיימת להם הזכות לחזור בהם מהעסקה מחמת</w:t>
      </w:r>
      <w:r w:rsidRPr="00D62F0C">
        <w:rPr>
          <w:rFonts w:ascii="Arial" w:eastAsia="Times New Roman" w:hAnsi="Arial" w:cs="David"/>
          <w:b/>
          <w:bCs/>
          <w:sz w:val="24"/>
          <w:szCs w:val="24"/>
          <w:rtl/>
        </w:rPr>
        <w:t xml:space="preserve"> </w:t>
      </w:r>
      <w:r w:rsidRPr="00D62F0C">
        <w:rPr>
          <w:rFonts w:ascii="Arial" w:eastAsia="Times New Roman" w:hAnsi="Arial" w:cs="David"/>
          <w:sz w:val="24"/>
          <w:szCs w:val="24"/>
          <w:rtl/>
        </w:rPr>
        <w:t xml:space="preserve">התנהגות מחפירה מצד הנתבע; התובעים מתארים שעובר לחתימת ההסכם היחסים בין הצדדים היו טובים, חמים ואוהבים, וכך גם אישרו הנתבעים בחקירתם. תקופה קצרה אחרי חתימת ההסכם, הפכו הנתבעים את עורם, הנתבע נהג בהם בדרך לא מכובדת, לא ראויה, מבזה ומבישה, התנכל ונהג כלפיהם באלימות מילולית ופיזית. הנתבע הודה בחקירתו שעתר לצו הגנה (ה"ט 32897-05-17) נגד אביו וגרם למעצרו, למרות שלא היה חלק מהאירוע. כן אישר שעתר לצו הגנה נגד אחיו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שגם הוא לא היה חלק מהאירוע. בנוסף, הנתבע הרביץ לתובעת בצורה אכזרית וברוטאלית, חסרת חמלה וכבוד, ובעקבות אירוע זה הורחק מהכפר בהחלטה שיפוטית, וחזר רק לאחר שנערך טקס "סולחה" בין הצדדים ששודר בדיון ההוכחות, בו הודה הנתבע. לאחר אירוע מצער זה, לקה התובע באירוע מוחי, והנתבע לא שאל לשלומו ולא ביקר אותו. חרף התנהלותו המחפירה,  התובעת מעולם לא יזמה פרובוקציה, אלא נקטה בפעולות כתגובה. בנוסף, באופן </w:t>
      </w:r>
      <w:r w:rsidRPr="00D62F0C">
        <w:rPr>
          <w:rFonts w:ascii="Arial" w:eastAsia="Times New Roman" w:hAnsi="Arial" w:cs="David"/>
          <w:sz w:val="24"/>
          <w:szCs w:val="24"/>
          <w:rtl/>
        </w:rPr>
        <w:lastRenderedPageBreak/>
        <w:t>משפיל, הנתבע ביקש מלשכת הרווחה ב</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לאסור על התובעת לבקר את הקטינים בפנימייה ולקבל אותם לביתה. עדותו של הבן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תומכת בגרסתם, אשר לא הופרכה בכל הנוגע להידרדרות היחסים עם הנתבעים ואי קבלת ההסכם והמסע הארוך עד לקבלתו; בנוגע ליחסי הנתבעת העכורים עם הקטינים; על התנהלות הנתבעים בכל הקשור לצווי הגנה ורצונם העז לנקום ולפגוע בכולם.</w:t>
      </w:r>
    </w:p>
    <w:p w:rsidR="00D62F0C" w:rsidRPr="00D62F0C" w:rsidRDefault="00D62F0C" w:rsidP="00D62F0C">
      <w:pPr>
        <w:spacing w:after="0" w:line="240" w:lineRule="auto"/>
        <w:jc w:val="both"/>
        <w:rPr>
          <w:rFonts w:ascii="Arial" w:eastAsia="Times New Roman" w:hAnsi="Arial" w:cs="David"/>
          <w:noProof/>
          <w:sz w:val="24"/>
          <w:szCs w:val="24"/>
          <w:rtl/>
        </w:rPr>
      </w:pPr>
    </w:p>
    <w:p w:rsidR="00D62F0C" w:rsidRPr="00D62F0C" w:rsidRDefault="00D62F0C" w:rsidP="00D62F0C">
      <w:pPr>
        <w:spacing w:after="0" w:line="360" w:lineRule="auto"/>
        <w:jc w:val="both"/>
        <w:rPr>
          <w:rFonts w:ascii="Arial" w:eastAsia="Times New Roman" w:hAnsi="Arial" w:cs="David"/>
          <w:b/>
          <w:bCs/>
          <w:noProof/>
          <w:sz w:val="28"/>
          <w:szCs w:val="28"/>
          <w:rtl/>
        </w:rPr>
      </w:pPr>
      <w:r w:rsidRPr="00D62F0C">
        <w:rPr>
          <w:rFonts w:ascii="Arial" w:eastAsia="Times New Roman" w:hAnsi="Arial" w:cs="David"/>
          <w:b/>
          <w:bCs/>
          <w:noProof/>
          <w:sz w:val="28"/>
          <w:szCs w:val="28"/>
          <w:u w:val="single"/>
          <w:rtl/>
        </w:rPr>
        <w:t xml:space="preserve">טענות הנתבעים ; </w:t>
      </w:r>
    </w:p>
    <w:p w:rsidR="00D62F0C" w:rsidRPr="00D62F0C" w:rsidRDefault="00D62F0C" w:rsidP="00D62F0C">
      <w:pPr>
        <w:spacing w:after="0" w:line="240" w:lineRule="auto"/>
        <w:jc w:val="both"/>
        <w:rPr>
          <w:rFonts w:ascii="Arial" w:eastAsia="Times New Roman" w:hAnsi="Arial" w:cs="David"/>
          <w:b/>
          <w:bCs/>
          <w:noProof/>
          <w:sz w:val="28"/>
          <w:szCs w:val="28"/>
          <w:rtl/>
        </w:rPr>
      </w:pPr>
    </w:p>
    <w:p w:rsidR="00D62F0C" w:rsidRPr="00D62F0C" w:rsidRDefault="00D62F0C" w:rsidP="006A2A7E">
      <w:pPr>
        <w:numPr>
          <w:ilvl w:val="0"/>
          <w:numId w:val="1"/>
        </w:numPr>
        <w:spacing w:after="0" w:line="360" w:lineRule="auto"/>
        <w:contextualSpacing/>
        <w:jc w:val="both"/>
        <w:rPr>
          <w:rFonts w:ascii="Arial" w:eastAsia="Times New Roman" w:hAnsi="Arial" w:cs="David"/>
          <w:sz w:val="24"/>
          <w:szCs w:val="24"/>
          <w:rtl/>
        </w:rPr>
      </w:pPr>
      <w:r w:rsidRPr="00D62F0C">
        <w:rPr>
          <w:rFonts w:ascii="Arial" w:eastAsia="Times New Roman" w:hAnsi="Arial" w:cs="David"/>
          <w:sz w:val="24"/>
          <w:szCs w:val="24"/>
          <w:rtl/>
        </w:rPr>
        <w:t>דין התביעה להידחות שכן התובעים לא הרימו את נטל הראיה ביחס לטענותיהם ובכלל זה לא הוכיחו מרמה, טעות והטעיה כפי שנטענו. כך גם התובעים לא הפריכו את החזקה שחתימתם על ההסכם מהווה אישור לכך שהבינו את תוכנו ונתנו הסכמתם לאמור בו. העסקה דווחה לרשויות המסים, גם זאת בחתימתם ורק לאחר שנה מהגשת כתב התביעה הראשון, נולדה גרסה חדשה מטעמם בדבר הטעיה, ניצול ומרמה, ובהמשך גרסה נוספת לפיה כוונתם בהסכם הייתה להעביר את זכויותיהם במתנה לקטינים, והכל לאחר שכנועים מצד הנתבע ומר "</w:t>
      </w:r>
      <w:r w:rsidR="006A2A7E">
        <w:rPr>
          <w:rFonts w:ascii="Arial" w:eastAsia="Times New Roman" w:hAnsi="Arial" w:cs="David" w:hint="cs"/>
          <w:sz w:val="24"/>
          <w:szCs w:val="24"/>
          <w:rtl/>
        </w:rPr>
        <w:t>*** ***</w:t>
      </w:r>
      <w:r w:rsidRPr="00D62F0C">
        <w:rPr>
          <w:rFonts w:ascii="Arial" w:eastAsia="Times New Roman" w:hAnsi="Arial" w:cs="David"/>
          <w:sz w:val="24"/>
          <w:szCs w:val="24"/>
          <w:rtl/>
        </w:rPr>
        <w:t>". ואולם, התובע הכחיש בחקירתו כל קשר ל"</w:t>
      </w:r>
      <w:r w:rsidR="006A2A7E">
        <w:rPr>
          <w:rFonts w:ascii="Arial" w:eastAsia="Times New Roman" w:hAnsi="Arial" w:cs="David" w:hint="cs"/>
          <w:sz w:val="24"/>
          <w:szCs w:val="24"/>
          <w:rtl/>
        </w:rPr>
        <w:t>*** ***</w:t>
      </w:r>
      <w:r w:rsidRPr="00D62F0C">
        <w:rPr>
          <w:rFonts w:ascii="Arial" w:eastAsia="Times New Roman" w:hAnsi="Arial" w:cs="David"/>
          <w:sz w:val="24"/>
          <w:szCs w:val="24"/>
          <w:rtl/>
        </w:rPr>
        <w:t>" ולא זימן אותו לעדות מאחר ו</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נכח במועד החתימה על ההסכם, והתובעים חוששים מעדותו. כך גם מהתצהיר שצורף לתגובת עוה"ד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עולה שלא הייתה כל הטעיה והתובעים וויתרו מרצונם על שתי הקומות בנכס, באופן בו קומה אחת תשמש את הנתבעים והשנייה תשמש את הקטינים </w:t>
      </w:r>
      <w:r w:rsidRPr="00D62F0C">
        <w:rPr>
          <w:rFonts w:ascii="Arial" w:eastAsia="Times New Roman" w:hAnsi="Arial" w:cs="David"/>
          <w:sz w:val="24"/>
          <w:szCs w:val="24"/>
          <w:u w:val="single"/>
          <w:rtl/>
        </w:rPr>
        <w:t>בעתיד</w:t>
      </w:r>
      <w:r w:rsidRPr="00D62F0C">
        <w:rPr>
          <w:rFonts w:ascii="Arial" w:eastAsia="Times New Roman" w:hAnsi="Arial" w:cs="David"/>
          <w:sz w:val="24"/>
          <w:szCs w:val="24"/>
          <w:rtl/>
        </w:rPr>
        <w:t>. ההסכם הוקרא לתובעים בשפה הערבית והם הסכימו להעביר את הזכויות במתנה לנתבע. העתק מההסכם נמסר לתובעים בשנת 2015-2016 ולפי הפסיקה וסעיף 20 לחוק החוזים, אם נודע להם על הטעיה היה עליהם לפעול תוך זמן סביר לביטול ההסכם.</w:t>
      </w:r>
    </w:p>
    <w:p w:rsidR="00D62F0C" w:rsidRPr="00D62F0C" w:rsidRDefault="00D62F0C" w:rsidP="00D62F0C">
      <w:pPr>
        <w:spacing w:after="0" w:line="240" w:lineRule="auto"/>
        <w:ind w:left="360"/>
        <w:contextualSpacing/>
        <w:jc w:val="both"/>
        <w:rPr>
          <w:rFonts w:ascii="Arial" w:eastAsia="Times New Roman" w:hAnsi="Arial" w:cs="David"/>
          <w:sz w:val="24"/>
          <w:szCs w:val="24"/>
          <w:rtl/>
        </w:rPr>
      </w:pPr>
    </w:p>
    <w:p w:rsidR="00D62F0C" w:rsidRDefault="00D62F0C" w:rsidP="006A2A7E">
      <w:pPr>
        <w:numPr>
          <w:ilvl w:val="0"/>
          <w:numId w:val="1"/>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t xml:space="preserve">בנוסף, עדותם של התובעים והעד מטעמם אינה אמינה ועולות סתירות בשאלות הנוגעות בליבת המחלוקת, ואשר די בהן בכדי להביא לדחיית התביעה ללא צורך בניתוח הראיות הנוספות. כך לדוגמא, התובעים התכחשו לאמור בתצהיר עדותם הראשית והאשימו בזיוף כי "מישהו אחר חתם"; התובע הכחיש את בקשתו לגביית עדות מוקדמת על אף שהבקשה מגובה בתצהיר חתום על ידו; בחקירתו הכחיש התובע ידיעתם של יתר האחים על הסכם המתנה וזאת בניגוד לגרסתו של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שהעיד שנודע לכולם כחודש לאחר מהחתימה ואף פנה לעו"ד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לקבלת העתק מההסכם; התובעת התחמקה ממתן תשובות לשאלות רלוונטיות והדבר פועל לרעתה. בנוסף, מעדות התובעים עולה שגודל הדירות שווה, ומכאן, מה התועלת בהחלפתן ובשיפוצן ע"י הנתבע  כשהמטרה בבסיס ההסכם הייתה סיפוק מרחב לשלושת ילדיו הקטינים.</w:t>
      </w:r>
    </w:p>
    <w:p w:rsidR="006A2A7E" w:rsidRPr="00D62F0C" w:rsidRDefault="006A2A7E" w:rsidP="006A2A7E">
      <w:pPr>
        <w:spacing w:after="0" w:line="360" w:lineRule="auto"/>
        <w:ind w:left="360"/>
        <w:contextualSpacing/>
        <w:jc w:val="both"/>
        <w:rPr>
          <w:rFonts w:ascii="Arial" w:eastAsia="Times New Roman" w:hAnsi="Arial" w:cs="David"/>
          <w:sz w:val="24"/>
          <w:szCs w:val="24"/>
        </w:rPr>
      </w:pPr>
    </w:p>
    <w:p w:rsidR="00D62F0C" w:rsidRPr="00D62F0C" w:rsidRDefault="00D62F0C" w:rsidP="00D62F0C">
      <w:pPr>
        <w:numPr>
          <w:ilvl w:val="0"/>
          <w:numId w:val="1"/>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t>עוד טוענים הנתבעים, שהזכויות שהועברו לנתבע מכוחו של ההסכם הינן אובליגטוריות שכן לתובעים אין זכות קניינית, ומכאן, התובעים העניקו לנתבע "מתנה לאלתר", וכיום המדובר  מדובר במתנה מוגמרת</w:t>
      </w:r>
      <w:r w:rsidRPr="00D62F0C">
        <w:rPr>
          <w:rFonts w:ascii="Arial" w:eastAsia="Times New Roman" w:hAnsi="Arial" w:cs="David"/>
          <w:b/>
          <w:bCs/>
          <w:sz w:val="24"/>
          <w:szCs w:val="24"/>
          <w:rtl/>
        </w:rPr>
        <w:t>.</w:t>
      </w:r>
      <w:r w:rsidRPr="00D62F0C">
        <w:rPr>
          <w:rFonts w:ascii="Arial" w:eastAsia="Times New Roman" w:hAnsi="Arial" w:cs="David"/>
          <w:sz w:val="24"/>
          <w:szCs w:val="24"/>
          <w:rtl/>
        </w:rPr>
        <w:t xml:space="preserve"> משכך, די במסירת הזכות לידי המקבל בכדי להקנות לו את המתנה לאלתר מבלי שיידרש ברישום הזכות על שמו. מבלי לפגוע באמור לעיל וגם בהנחה והמדובר </w:t>
      </w:r>
      <w:r w:rsidRPr="00D62F0C">
        <w:rPr>
          <w:rFonts w:ascii="Arial" w:eastAsia="Times New Roman" w:hAnsi="Arial" w:cs="David"/>
          <w:sz w:val="24"/>
          <w:szCs w:val="24"/>
          <w:rtl/>
        </w:rPr>
        <w:lastRenderedPageBreak/>
        <w:t xml:space="preserve">בהתחייבות להענקת מתנה ולא במתנה מוגמרת, עדיין לא התקיימו התנאים המקנים לתובעים זכות לחזור בהם מהתחייבותם שכן לפי סעיף 4 להסכם, התובעים ויתרו על זכותם לחזור מההתחייבות, ובנוסף שהנתבע שינה מצבו בהסתמך על המתנה, באופן בו בין היתר פעל לשיפוץ מקיף של שתי הדירות. בנוסף, התובעים לא הוכיחו התנהגות מחפירה מצד הנתבעים, והחל מהתקופה שנחתם ההסכם, התובעים הם אלה שהתנהגו בצורה לא ראויה כלפי הנתבעים באופן מתוכנן לצורכי ביטול המתנה. כך לדוגמא, התובע ואחיו תקפו את הנתבע ובת זוגו עד שנזדקק לטיפול רפואי, ואף התובע אישר זאת בחקירתו ואף הסגיר עצמו למשטרה, אך הנתבע עתר לשחררו. גם ביחס לאירוע מיום 15.7.20, התובעת מתארת חצאי עובדות, והציגה את סרטון תוך שהשמיטה את החלק בו היא פגעה בנתבע. בחקירתה הודתה התובעת שנכנסה לשטח של הנתבע בניגוד לצו הרחקה, דחפה אותו, משכה בכבל החשמל וסיכנה את חייהם. </w:t>
      </w:r>
    </w:p>
    <w:p w:rsidR="00D62F0C" w:rsidRPr="00D62F0C" w:rsidRDefault="00D62F0C" w:rsidP="00D62F0C">
      <w:pPr>
        <w:spacing w:after="0" w:line="240" w:lineRule="auto"/>
        <w:jc w:val="both"/>
        <w:rPr>
          <w:rFonts w:ascii="Calibri" w:eastAsia="Calibri" w:hAnsi="Calibri" w:cs="Arial"/>
          <w:noProof/>
        </w:rPr>
      </w:pPr>
    </w:p>
    <w:p w:rsidR="00D62F0C" w:rsidRPr="00D62F0C" w:rsidRDefault="00D62F0C" w:rsidP="00D62F0C">
      <w:pPr>
        <w:spacing w:after="0" w:line="360" w:lineRule="auto"/>
        <w:jc w:val="both"/>
        <w:rPr>
          <w:rFonts w:ascii="Arial" w:eastAsia="Times New Roman" w:hAnsi="Arial" w:cs="David"/>
          <w:b/>
          <w:bCs/>
          <w:noProof/>
          <w:sz w:val="32"/>
          <w:szCs w:val="32"/>
          <w:u w:val="single"/>
        </w:rPr>
      </w:pPr>
      <w:r w:rsidRPr="00D62F0C">
        <w:rPr>
          <w:rFonts w:ascii="Arial" w:eastAsia="Times New Roman" w:hAnsi="Arial" w:cs="David"/>
          <w:b/>
          <w:bCs/>
          <w:noProof/>
          <w:sz w:val="32"/>
          <w:szCs w:val="32"/>
          <w:highlight w:val="lightGray"/>
          <w:u w:val="single"/>
          <w:rtl/>
        </w:rPr>
        <w:t>דיון והכרעה:</w:t>
      </w:r>
    </w:p>
    <w:p w:rsidR="00D62F0C" w:rsidRPr="00D62F0C" w:rsidRDefault="00D62F0C" w:rsidP="00D62F0C">
      <w:pPr>
        <w:spacing w:after="0" w:line="240" w:lineRule="auto"/>
        <w:jc w:val="both"/>
        <w:rPr>
          <w:rFonts w:ascii="Arial" w:eastAsia="Times New Roman" w:hAnsi="Arial" w:cs="David"/>
          <w:b/>
          <w:bCs/>
          <w:noProof/>
          <w:sz w:val="24"/>
          <w:szCs w:val="24"/>
          <w:u w:val="single"/>
          <w:rtl/>
        </w:rPr>
      </w:pPr>
    </w:p>
    <w:p w:rsidR="00D62F0C" w:rsidRPr="00D62F0C" w:rsidRDefault="00D62F0C" w:rsidP="00D62F0C">
      <w:pPr>
        <w:spacing w:after="0" w:line="360" w:lineRule="auto"/>
        <w:jc w:val="both"/>
        <w:rPr>
          <w:rFonts w:ascii="Arial" w:eastAsia="Times New Roman" w:hAnsi="Arial" w:cs="David"/>
          <w:noProof/>
          <w:sz w:val="24"/>
          <w:szCs w:val="24"/>
          <w:rtl/>
        </w:rPr>
      </w:pPr>
      <w:r w:rsidRPr="00D62F0C">
        <w:rPr>
          <w:rFonts w:ascii="Arial" w:eastAsia="Times New Roman" w:hAnsi="Arial" w:cs="David"/>
          <w:noProof/>
          <w:sz w:val="24"/>
          <w:szCs w:val="24"/>
          <w:rtl/>
        </w:rPr>
        <w:t xml:space="preserve">לאחר שעיינתי בכתבי הטענות על נספחיהם ושמעתי את הצדדים והעדים, הגעתי לכלל מסקנה שהסכם המתנה בר תוקף והמדובר במתנה מוגמרת, ומכאן דין התביעה להדחות במלואה. אנמק; </w:t>
      </w:r>
    </w:p>
    <w:p w:rsidR="00D62F0C" w:rsidRPr="00D62F0C" w:rsidRDefault="00D62F0C" w:rsidP="00D62F0C">
      <w:pPr>
        <w:spacing w:after="0" w:line="240" w:lineRule="auto"/>
        <w:jc w:val="both"/>
        <w:rPr>
          <w:rFonts w:ascii="Arial" w:eastAsia="Times New Roman" w:hAnsi="Arial" w:cs="David"/>
          <w:b/>
          <w:bCs/>
          <w:noProof/>
          <w:sz w:val="28"/>
          <w:szCs w:val="28"/>
          <w:u w:val="single"/>
          <w:rtl/>
        </w:rPr>
      </w:pPr>
    </w:p>
    <w:p w:rsidR="00D62F0C" w:rsidRPr="00D62F0C" w:rsidRDefault="00D62F0C" w:rsidP="00D62F0C">
      <w:pPr>
        <w:numPr>
          <w:ilvl w:val="0"/>
          <w:numId w:val="1"/>
        </w:numPr>
        <w:spacing w:after="0" w:line="360" w:lineRule="auto"/>
        <w:contextualSpacing/>
        <w:jc w:val="both"/>
        <w:rPr>
          <w:rFonts w:ascii="Arial" w:eastAsia="Times New Roman" w:hAnsi="Arial" w:cs="David"/>
          <w:sz w:val="24"/>
          <w:szCs w:val="24"/>
          <w:rtl/>
        </w:rPr>
      </w:pPr>
      <w:r w:rsidRPr="00D62F0C">
        <w:rPr>
          <w:rFonts w:ascii="Arial" w:eastAsia="Times New Roman" w:hAnsi="Arial" w:cs="David"/>
          <w:sz w:val="24"/>
          <w:szCs w:val="24"/>
          <w:rtl/>
        </w:rPr>
        <w:t xml:space="preserve">לצורך הכרעה במחלוקת לפניי, אדרש לשתי שאלות; </w:t>
      </w:r>
    </w:p>
    <w:p w:rsidR="00D62F0C" w:rsidRPr="00D62F0C" w:rsidRDefault="00D62F0C" w:rsidP="00D62F0C">
      <w:pPr>
        <w:spacing w:line="240" w:lineRule="auto"/>
        <w:ind w:left="360"/>
        <w:contextualSpacing/>
        <w:jc w:val="both"/>
        <w:rPr>
          <w:rFonts w:ascii="Arial" w:eastAsia="Times New Roman" w:hAnsi="Arial" w:cs="David"/>
          <w:sz w:val="24"/>
          <w:szCs w:val="24"/>
        </w:rPr>
      </w:pPr>
    </w:p>
    <w:p w:rsidR="00D62F0C" w:rsidRPr="00D62F0C" w:rsidRDefault="00D62F0C" w:rsidP="006A2A7E">
      <w:pPr>
        <w:spacing w:line="360" w:lineRule="auto"/>
        <w:ind w:left="360"/>
        <w:contextualSpacing/>
        <w:jc w:val="both"/>
        <w:rPr>
          <w:rFonts w:ascii="Arial" w:eastAsia="Times New Roman" w:hAnsi="Arial" w:cs="David"/>
          <w:sz w:val="24"/>
          <w:szCs w:val="24"/>
        </w:rPr>
      </w:pPr>
      <w:r w:rsidRPr="00D62F0C">
        <w:rPr>
          <w:rFonts w:ascii="Arial" w:eastAsia="Times New Roman" w:hAnsi="Arial" w:cs="David"/>
          <w:sz w:val="24"/>
          <w:szCs w:val="24"/>
          <w:u w:val="single"/>
          <w:rtl/>
        </w:rPr>
        <w:t>הראשונה</w:t>
      </w:r>
      <w:r w:rsidRPr="00D62F0C">
        <w:rPr>
          <w:rFonts w:ascii="Arial" w:eastAsia="Times New Roman" w:hAnsi="Arial" w:cs="David"/>
          <w:sz w:val="24"/>
          <w:szCs w:val="24"/>
          <w:rtl/>
        </w:rPr>
        <w:t xml:space="preserve"> – האם הסכם המתנה בטל מעיקרו נוכח טענת התובעים לפגמים שנפלו בכריתתו וקיומו, ובכלל זה טעות בנכס מושא ההסכם, הטעייה מצד הנתבע ועו"ד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כך שנקבע שהזכויות ירשמו ע"ש הנתבע, קיומו של תנאי מתנה אשר לא קויים, זיוף וחוסר תום לב. במסגרת הכרעתי אדרש לנפקותן של הטענות על תוקפו של ההסכם.</w:t>
      </w:r>
    </w:p>
    <w:p w:rsidR="00D62F0C" w:rsidRPr="00D62F0C" w:rsidRDefault="00D62F0C" w:rsidP="00D62F0C">
      <w:pPr>
        <w:spacing w:line="240" w:lineRule="auto"/>
        <w:ind w:left="360"/>
        <w:contextualSpacing/>
        <w:jc w:val="both"/>
        <w:rPr>
          <w:rFonts w:ascii="Arial" w:eastAsia="Times New Roman" w:hAnsi="Arial" w:cs="David"/>
          <w:sz w:val="24"/>
          <w:szCs w:val="24"/>
          <w:rtl/>
        </w:rPr>
      </w:pPr>
    </w:p>
    <w:p w:rsidR="00D62F0C" w:rsidRDefault="00D62F0C" w:rsidP="00D62F0C">
      <w:pPr>
        <w:spacing w:line="360" w:lineRule="auto"/>
        <w:ind w:left="360"/>
        <w:contextualSpacing/>
        <w:jc w:val="both"/>
        <w:rPr>
          <w:rFonts w:ascii="Arial" w:eastAsia="Times New Roman" w:hAnsi="Arial" w:cs="David"/>
          <w:sz w:val="24"/>
          <w:szCs w:val="24"/>
          <w:rtl/>
        </w:rPr>
      </w:pPr>
      <w:r w:rsidRPr="00D62F0C">
        <w:rPr>
          <w:rFonts w:ascii="Arial" w:eastAsia="Times New Roman" w:hAnsi="Arial" w:cs="David"/>
          <w:sz w:val="24"/>
          <w:szCs w:val="24"/>
          <w:u w:val="single"/>
          <w:rtl/>
        </w:rPr>
        <w:t>השנייה</w:t>
      </w:r>
      <w:r w:rsidRPr="00D62F0C">
        <w:rPr>
          <w:rFonts w:ascii="Arial" w:eastAsia="Times New Roman" w:hAnsi="Arial" w:cs="David"/>
          <w:sz w:val="24"/>
          <w:szCs w:val="24"/>
          <w:rtl/>
        </w:rPr>
        <w:t xml:space="preserve">- האם הסכם המתנה הינו התחייבות להענקת מתנה ולא מתנה מוגמרת, שעה שמדובר במתנה במקרקעין, אשר לא נסתיימה ברישום. </w:t>
      </w:r>
    </w:p>
    <w:p w:rsidR="006A2A7E" w:rsidRPr="00D62F0C" w:rsidRDefault="006A2A7E" w:rsidP="00D62F0C">
      <w:pPr>
        <w:spacing w:line="360" w:lineRule="auto"/>
        <w:ind w:left="360"/>
        <w:contextualSpacing/>
        <w:jc w:val="both"/>
        <w:rPr>
          <w:rFonts w:ascii="Arial" w:eastAsia="Times New Roman" w:hAnsi="Arial" w:cs="David"/>
          <w:sz w:val="24"/>
          <w:szCs w:val="24"/>
          <w:rtl/>
        </w:rPr>
      </w:pPr>
    </w:p>
    <w:p w:rsidR="00D62F0C" w:rsidRPr="00D62F0C" w:rsidRDefault="00D62F0C" w:rsidP="00D62F0C">
      <w:pPr>
        <w:spacing w:after="0" w:line="360" w:lineRule="auto"/>
        <w:jc w:val="both"/>
        <w:rPr>
          <w:rFonts w:ascii="Arial" w:eastAsia="Times New Roman" w:hAnsi="Arial" w:cs="David"/>
          <w:noProof/>
          <w:sz w:val="24"/>
          <w:szCs w:val="24"/>
          <w:rtl/>
        </w:rPr>
      </w:pPr>
      <w:r w:rsidRPr="00D62F0C">
        <w:rPr>
          <w:rFonts w:ascii="Arial" w:eastAsia="Times New Roman" w:hAnsi="Arial" w:cs="David"/>
          <w:noProof/>
          <w:sz w:val="24"/>
          <w:szCs w:val="24"/>
          <w:rtl/>
        </w:rPr>
        <w:t xml:space="preserve">אדון בשאלות אלה על פי סדרן: </w:t>
      </w:r>
    </w:p>
    <w:p w:rsidR="00D62F0C" w:rsidRPr="00D62F0C" w:rsidRDefault="00D62F0C" w:rsidP="00D62F0C">
      <w:pPr>
        <w:spacing w:after="0" w:line="240" w:lineRule="auto"/>
        <w:jc w:val="both"/>
        <w:rPr>
          <w:rFonts w:ascii="Arial" w:eastAsia="Times New Roman" w:hAnsi="Arial" w:cs="David"/>
          <w:noProof/>
          <w:sz w:val="24"/>
          <w:szCs w:val="24"/>
          <w:rtl/>
        </w:rPr>
      </w:pPr>
    </w:p>
    <w:p w:rsidR="00D62F0C" w:rsidRPr="00D62F0C" w:rsidRDefault="00D62F0C" w:rsidP="00D62F0C">
      <w:pPr>
        <w:spacing w:after="0" w:line="360" w:lineRule="auto"/>
        <w:jc w:val="both"/>
        <w:rPr>
          <w:rFonts w:ascii="Arial" w:eastAsia="Times New Roman" w:hAnsi="Arial" w:cs="David"/>
          <w:b/>
          <w:bCs/>
          <w:noProof/>
          <w:sz w:val="28"/>
          <w:szCs w:val="28"/>
          <w:u w:val="single"/>
        </w:rPr>
      </w:pPr>
      <w:r w:rsidRPr="00D62F0C">
        <w:rPr>
          <w:rFonts w:ascii="Arial" w:eastAsia="Times New Roman" w:hAnsi="Arial" w:cs="David"/>
          <w:b/>
          <w:bCs/>
          <w:noProof/>
          <w:sz w:val="28"/>
          <w:szCs w:val="28"/>
          <w:u w:val="single"/>
          <w:rtl/>
        </w:rPr>
        <w:t xml:space="preserve">תוקפו של הסכם המתנה: </w:t>
      </w:r>
    </w:p>
    <w:p w:rsidR="00D62F0C" w:rsidRPr="00D62F0C" w:rsidRDefault="00D62F0C" w:rsidP="00D62F0C">
      <w:pPr>
        <w:spacing w:after="0" w:line="240" w:lineRule="auto"/>
        <w:jc w:val="both"/>
        <w:rPr>
          <w:rFonts w:ascii="Arial" w:eastAsia="Times New Roman" w:hAnsi="Arial" w:cs="David"/>
          <w:noProof/>
          <w:sz w:val="24"/>
          <w:szCs w:val="24"/>
        </w:rPr>
      </w:pPr>
    </w:p>
    <w:p w:rsidR="00D62F0C" w:rsidRPr="00D62F0C" w:rsidRDefault="00D62F0C" w:rsidP="00D62F0C">
      <w:pPr>
        <w:numPr>
          <w:ilvl w:val="0"/>
          <w:numId w:val="1"/>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t xml:space="preserve">המתנה בענייננו היא הסכם, עסקה דו-צדדית שנתינתה נגמרת בהקנייתה ע"י הנותן למקבל, תוך הסכמה ביניהם שהדבר ניתן במתנה. משכך, </w:t>
      </w:r>
      <w:r w:rsidRPr="00D62F0C">
        <w:rPr>
          <w:rFonts w:ascii="Arial" w:eastAsia="Times New Roman" w:hAnsi="Arial" w:cs="David"/>
          <w:b/>
          <w:bCs/>
          <w:sz w:val="24"/>
          <w:szCs w:val="24"/>
          <w:rtl/>
        </w:rPr>
        <w:t xml:space="preserve"> "על חוזה המתנה חלות שתי מערכות של הוראות חוק: ראשית, זו המיוחדת שנכללה בחוק המתנה, ושנית, בהיעדר הסדר ספציפי בחוק הנ"ל, ההוראות הכלליות של דיני החוזים, החלות על כל החוזים לסוגיהם, אלא אם כן נקבע הסדר מיוחד לסוג מסוים של חוזים."</w:t>
      </w:r>
      <w:r w:rsidRPr="00D62F0C">
        <w:rPr>
          <w:rFonts w:ascii="Arial" w:eastAsia="Times New Roman" w:hAnsi="Arial" w:cs="David"/>
          <w:sz w:val="24"/>
          <w:szCs w:val="24"/>
          <w:rtl/>
        </w:rPr>
        <w:t xml:space="preserve"> (ע"א 343/87 דפנה פרי נ' משה פרי, מד(2) 154 (1990)). </w:t>
      </w:r>
    </w:p>
    <w:p w:rsidR="00D62F0C" w:rsidRPr="00D62F0C" w:rsidRDefault="00D62F0C" w:rsidP="00D62F0C">
      <w:pPr>
        <w:spacing w:after="0" w:line="240" w:lineRule="auto"/>
        <w:ind w:left="360"/>
        <w:contextualSpacing/>
        <w:jc w:val="both"/>
        <w:rPr>
          <w:rFonts w:ascii="Arial" w:eastAsia="Times New Roman" w:hAnsi="Arial" w:cs="David"/>
          <w:sz w:val="24"/>
          <w:szCs w:val="24"/>
          <w:rtl/>
        </w:rPr>
      </w:pPr>
    </w:p>
    <w:p w:rsidR="00D62F0C" w:rsidRPr="00D62F0C" w:rsidRDefault="00D62F0C" w:rsidP="006A2A7E">
      <w:pPr>
        <w:numPr>
          <w:ilvl w:val="0"/>
          <w:numId w:val="1"/>
        </w:numPr>
        <w:spacing w:after="0" w:line="360" w:lineRule="auto"/>
        <w:contextualSpacing/>
        <w:jc w:val="both"/>
        <w:rPr>
          <w:rFonts w:ascii="Arial" w:eastAsia="Times New Roman" w:hAnsi="Arial" w:cs="David"/>
          <w:sz w:val="24"/>
          <w:szCs w:val="24"/>
          <w:rtl/>
        </w:rPr>
      </w:pPr>
      <w:r w:rsidRPr="00D62F0C">
        <w:rPr>
          <w:rFonts w:ascii="Arial" w:eastAsia="Times New Roman" w:hAnsi="Arial" w:cs="David"/>
          <w:sz w:val="24"/>
          <w:szCs w:val="24"/>
          <w:rtl/>
        </w:rPr>
        <w:lastRenderedPageBreak/>
        <w:t xml:space="preserve">מעניק המתנה, העותר לביטול הסכם מחמת </w:t>
      </w:r>
      <w:r w:rsidRPr="00D62F0C">
        <w:rPr>
          <w:rFonts w:ascii="Arial" w:eastAsia="Times New Roman" w:hAnsi="Arial" w:cs="David"/>
          <w:b/>
          <w:bCs/>
          <w:sz w:val="24"/>
          <w:szCs w:val="24"/>
          <w:rtl/>
        </w:rPr>
        <w:t>טעות והטעיה</w:t>
      </w:r>
      <w:r w:rsidRPr="00D62F0C">
        <w:rPr>
          <w:rFonts w:ascii="Arial" w:eastAsia="Times New Roman" w:hAnsi="Arial" w:cs="David"/>
          <w:sz w:val="24"/>
          <w:szCs w:val="24"/>
          <w:rtl/>
        </w:rPr>
        <w:t xml:space="preserve"> צריך להוכיח שקיים פגם בכוונה להתקשר בחוזה, וכן שהמציאות שהוצגה לו מעוותת, כך שההסכם, ובפרט הסכם מתנה, נחתם בהיעדר גמירות דעת, שכן  </w:t>
      </w:r>
      <w:r w:rsidRPr="00D62F0C">
        <w:rPr>
          <w:rFonts w:ascii="Arial" w:eastAsia="Times New Roman" w:hAnsi="Arial" w:cs="David"/>
          <w:b/>
          <w:bCs/>
          <w:sz w:val="24"/>
          <w:szCs w:val="24"/>
          <w:rtl/>
        </w:rPr>
        <w:t>"נוכח אופייה של העיסקה החד-צדדית של מתנה, ישנה ציפייה סבירה שמקבל המתנה יעמוד על כוונותיו של המעניק ויוודא כי הגילוי החיצוני של רצונו משקף נאמנה את כוונתו הסובייקטיבית"</w:t>
      </w:r>
      <w:r w:rsidRPr="00D62F0C">
        <w:rPr>
          <w:rFonts w:ascii="Arial" w:eastAsia="Times New Roman" w:hAnsi="Arial" w:cs="David"/>
          <w:sz w:val="24"/>
          <w:szCs w:val="24"/>
          <w:rtl/>
        </w:rPr>
        <w:t xml:space="preserve"> (ע"א 3601/96 בראשי נ' עזבון בראשי ז"ל [נבו]) [מ. א. ראבילו, </w:t>
      </w:r>
      <w:r w:rsidRPr="00D62F0C">
        <w:rPr>
          <w:rFonts w:ascii="Arial" w:eastAsia="Times New Roman" w:hAnsi="Arial" w:cs="David"/>
          <w:b/>
          <w:bCs/>
          <w:sz w:val="24"/>
          <w:szCs w:val="24"/>
          <w:rtl/>
        </w:rPr>
        <w:t xml:space="preserve">חוק המתנה, תשכ"ח – 1968 </w:t>
      </w:r>
      <w:r w:rsidRPr="00D62F0C">
        <w:rPr>
          <w:rFonts w:ascii="Arial" w:eastAsia="Times New Roman" w:hAnsi="Arial" w:cs="David"/>
          <w:sz w:val="24"/>
          <w:szCs w:val="24"/>
          <w:rtl/>
        </w:rPr>
        <w:t xml:space="preserve">(תשנ"ז – 1996), עמ' 37; ע"א 155/73 </w:t>
      </w:r>
      <w:r w:rsidRPr="00D62F0C">
        <w:rPr>
          <w:rFonts w:ascii="Arial" w:eastAsia="Times New Roman" w:hAnsi="Arial" w:cs="David"/>
          <w:b/>
          <w:bCs/>
          <w:sz w:val="24"/>
          <w:szCs w:val="24"/>
          <w:rtl/>
        </w:rPr>
        <w:t xml:space="preserve">שרון נ' ליבוב, </w:t>
      </w:r>
      <w:r w:rsidRPr="00D62F0C">
        <w:rPr>
          <w:rFonts w:ascii="Arial" w:eastAsia="Times New Roman" w:hAnsi="Arial" w:cs="David"/>
          <w:sz w:val="24"/>
          <w:szCs w:val="24"/>
          <w:rtl/>
        </w:rPr>
        <w:t xml:space="preserve">פ"ד כח(2)673 ו- ע"א 268/81 </w:t>
      </w:r>
      <w:r w:rsidRPr="00D62F0C">
        <w:rPr>
          <w:rFonts w:ascii="Arial" w:eastAsia="Times New Roman" w:hAnsi="Arial" w:cs="David"/>
          <w:b/>
          <w:bCs/>
          <w:sz w:val="24"/>
          <w:szCs w:val="24"/>
          <w:rtl/>
        </w:rPr>
        <w:t xml:space="preserve">ברעם נ' גרטי, </w:t>
      </w:r>
      <w:r w:rsidRPr="00D62F0C">
        <w:rPr>
          <w:rFonts w:ascii="Arial" w:eastAsia="Times New Roman" w:hAnsi="Arial" w:cs="David"/>
          <w:sz w:val="24"/>
          <w:szCs w:val="24"/>
          <w:rtl/>
        </w:rPr>
        <w:t xml:space="preserve">פ"ד לח(3)45];  חשיבות גמירות הדעת  וכוונתו האמיתית של מעניק המתנה, גדולה יותר מעקרון ההגנה על אינטרס ההסתמכות של מקבל המתנה. במסגרת בחינת גמירות הדעת, בית המשפט יקפיד לבדוק האם הביטוי החיצוני של הכוונה להעניק מתנה במסגרת הסכם המתנה מבטאת נאמנה את רצונו האמתי של המעניק, וזאת </w:t>
      </w:r>
      <w:r w:rsidRPr="00D62F0C">
        <w:rPr>
          <w:rFonts w:ascii="Arial" w:eastAsia="Times New Roman" w:hAnsi="Arial" w:cs="David"/>
          <w:sz w:val="24"/>
          <w:szCs w:val="24"/>
          <w:u w:val="single"/>
          <w:rtl/>
        </w:rPr>
        <w:t>במועד עריכתו.</w:t>
      </w:r>
      <w:r w:rsidRPr="00D62F0C">
        <w:rPr>
          <w:rFonts w:ascii="Arial" w:eastAsia="Times New Roman" w:hAnsi="Arial" w:cs="David"/>
          <w:sz w:val="24"/>
          <w:szCs w:val="24"/>
          <w:rtl/>
        </w:rPr>
        <w:t xml:space="preserve">  גם חובת תום הלב המעוגנת בסעיף 39 לחוק החוזים חלה על חוזה מתנה, שכן חובה זו חלה ביחס לכלל סוגי החוזים בין בתמורה ובין שאינם בתמורה (ע"א 5187/91 </w:t>
      </w:r>
      <w:r w:rsidRPr="00D62F0C">
        <w:rPr>
          <w:rFonts w:ascii="Arial" w:eastAsia="Times New Roman" w:hAnsi="Arial" w:cs="David"/>
          <w:b/>
          <w:bCs/>
          <w:sz w:val="24"/>
          <w:szCs w:val="24"/>
          <w:rtl/>
        </w:rPr>
        <w:t xml:space="preserve">מקסימוב נ' מקסימוב, </w:t>
      </w:r>
      <w:r w:rsidRPr="00D62F0C">
        <w:rPr>
          <w:rFonts w:ascii="Arial" w:eastAsia="Times New Roman" w:hAnsi="Arial" w:cs="David"/>
          <w:sz w:val="24"/>
          <w:szCs w:val="24"/>
          <w:rtl/>
        </w:rPr>
        <w:t>פ"ד מז(3) 177);</w:t>
      </w:r>
    </w:p>
    <w:p w:rsidR="00D62F0C" w:rsidRPr="00D62F0C" w:rsidRDefault="00D62F0C" w:rsidP="00D62F0C">
      <w:pPr>
        <w:spacing w:after="0" w:line="240" w:lineRule="auto"/>
        <w:jc w:val="both"/>
        <w:rPr>
          <w:rFonts w:ascii="Arial" w:eastAsia="Times New Roman" w:hAnsi="Arial" w:cs="David"/>
          <w:noProof/>
          <w:sz w:val="24"/>
          <w:szCs w:val="24"/>
        </w:rPr>
      </w:pPr>
    </w:p>
    <w:p w:rsidR="00D62F0C" w:rsidRPr="00D62F0C" w:rsidRDefault="00D62F0C" w:rsidP="006A2A7E">
      <w:pPr>
        <w:numPr>
          <w:ilvl w:val="0"/>
          <w:numId w:val="1"/>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t xml:space="preserve">בעניינו; </w:t>
      </w:r>
      <w:r w:rsidR="006A2A7E">
        <w:rPr>
          <w:rFonts w:ascii="Arial" w:eastAsia="Times New Roman" w:hAnsi="Arial" w:cs="David" w:hint="cs"/>
          <w:sz w:val="24"/>
          <w:szCs w:val="24"/>
          <w:rtl/>
        </w:rPr>
        <w:t>א</w:t>
      </w:r>
      <w:r w:rsidRPr="00D62F0C">
        <w:rPr>
          <w:rFonts w:ascii="Arial" w:eastAsia="Times New Roman" w:hAnsi="Arial" w:cs="David"/>
          <w:sz w:val="24"/>
          <w:szCs w:val="24"/>
          <w:rtl/>
        </w:rPr>
        <w:t xml:space="preserve">קדים תוצאה לדרך ואציין שלא עלה בידי התובעים להוכיח כל טענה מטענותיהם, לרבות טעות, הטעייה וניצול מצבם, תוך שהתרשמתי בהתרשמות מלאה שחתמו על ההסכם מרצונם, תוך גמירות דעת מלאה ולאחר שהבינו את מלוא הוראותיו ונפקותו, ובכלל זה שרישום הזכויות הנכס יהיה על שם הנתבע ולא על שם הקטינים. מצאתי שעתירתם כיום, אינה קשורה בטענות אלה, אלא במחלוקות מאוחרות שנתגלעו בינם לבין הנתבעים, לאחר כריתת החוזה וקיום הוראותיו, ואלה, אינן מקימות כל עילה לביטולו. </w:t>
      </w:r>
    </w:p>
    <w:p w:rsidR="00D62F0C" w:rsidRPr="00D62F0C" w:rsidRDefault="00D62F0C" w:rsidP="00D62F0C">
      <w:pPr>
        <w:spacing w:line="254" w:lineRule="auto"/>
        <w:ind w:left="720"/>
        <w:contextualSpacing/>
        <w:rPr>
          <w:rFonts w:ascii="Arial" w:eastAsia="Times New Roman" w:hAnsi="Arial" w:cs="David"/>
          <w:sz w:val="24"/>
          <w:szCs w:val="24"/>
        </w:rPr>
      </w:pPr>
    </w:p>
    <w:p w:rsidR="00D62F0C" w:rsidRPr="00D62F0C" w:rsidRDefault="00D62F0C" w:rsidP="006A2A7E">
      <w:pPr>
        <w:numPr>
          <w:ilvl w:val="0"/>
          <w:numId w:val="1"/>
        </w:numPr>
        <w:spacing w:after="0" w:line="360" w:lineRule="auto"/>
        <w:contextualSpacing/>
        <w:jc w:val="both"/>
        <w:rPr>
          <w:rFonts w:ascii="Arial" w:eastAsia="Times New Roman" w:hAnsi="Arial" w:cs="David"/>
          <w:sz w:val="24"/>
          <w:szCs w:val="24"/>
          <w:rtl/>
        </w:rPr>
      </w:pPr>
      <w:r w:rsidRPr="00D62F0C">
        <w:rPr>
          <w:rFonts w:ascii="Arial" w:eastAsia="Times New Roman" w:hAnsi="Arial" w:cs="David"/>
          <w:sz w:val="24"/>
          <w:szCs w:val="24"/>
          <w:rtl/>
        </w:rPr>
        <w:t xml:space="preserve">לטענת התובעים, הנתבעים ועוה"ד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הטעו אותם בחוסר תום לב באופן בו לא היו מתקשרים  בהסכם אם ידעו שהקטינים לא מוזכרים בהוראותיו כמוטבים האמתיים. כן, לטענתם לא היו חותמים על ההסכם המאיין את זכותם לחזור בהם מהמתנה באם היו יודעים שתיאור הנכס שגוי. טענותיהם אלה העלו התובעים לראשונה במסגרת כתב התביעה השלישי. הנתבעים גרסו שטענות אלה, שטיבן טעות והטעייה, היה על התובעים להעלות תוך זמן סביר, כמו גם היה עליהם לפעול בהתאם לקבוע בסעיף 20 לחוק החוזים, ולעתור לביטול ההסכם, ומכאן </w:t>
      </w:r>
      <w:r w:rsidRPr="00D62F0C">
        <w:rPr>
          <w:rFonts w:ascii="Arial" w:eastAsia="Times New Roman" w:hAnsi="Arial" w:cs="David"/>
          <w:sz w:val="24"/>
          <w:szCs w:val="24"/>
          <w:u w:val="single"/>
          <w:rtl/>
        </w:rPr>
        <w:t>פעלו בשיהוי</w:t>
      </w:r>
      <w:r w:rsidRPr="00D62F0C">
        <w:rPr>
          <w:rFonts w:ascii="Arial" w:eastAsia="Times New Roman" w:hAnsi="Arial" w:cs="David"/>
          <w:sz w:val="24"/>
          <w:szCs w:val="24"/>
          <w:rtl/>
        </w:rPr>
        <w:t xml:space="preserve">.  מקובלת עליי טענת הנתבעים, תוך שמצאתי שאכן התובעים העלו טענתם זו בשיהוי ניכר, בפרט עת גרסו שכוונתם להטיב עם מגורי הקטינים ולהשיבם לבית הנתבע לאחר שהוצאו למסגרת חוץ ביתית, היא שעמדה בבסיס ההסכם; מעדות התובעים עולה שחלף זמן רב ובלתי סביר מרגע ידיעתם על העברת הקטינים לפנימייה בסוף שנת 2015, שם לגרסתם הובררה להם ההטעיה, עד שעתרו לביטול ההסכם בשל כך בחודש 01/2019, היינו כ- 3 שנים לאחר שנודע להם לראשונה. כשנשאלה התובעת מדוע עתרה לביטול החוזה רק לאחר 3 שנים ענתה בהתחמקות: </w:t>
      </w:r>
      <w:r w:rsidRPr="00D62F0C">
        <w:rPr>
          <w:rFonts w:ascii="FrankRuehl" w:eastAsia="Times New Roman" w:hAnsi="FrankRuehl" w:cs="FrankRuehl"/>
          <w:b/>
          <w:bCs/>
          <w:sz w:val="24"/>
          <w:szCs w:val="24"/>
          <w:rtl/>
        </w:rPr>
        <w:t>"</w:t>
      </w:r>
      <w:r w:rsidRPr="00D62F0C">
        <w:rPr>
          <w:rFonts w:ascii="FrankRuehl" w:eastAsia="Calibri" w:hAnsi="FrankRuehl" w:cs="FrankRuehl"/>
          <w:b/>
          <w:bCs/>
          <w:sz w:val="24"/>
          <w:szCs w:val="24"/>
          <w:rtl/>
        </w:rPr>
        <w:t>אני רציתי לשפר את המצב שיהיה יותר טוב".</w:t>
      </w:r>
      <w:r w:rsidRPr="00D62F0C">
        <w:rPr>
          <w:rFonts w:ascii="Arial" w:eastAsia="Times New Roman" w:hAnsi="Arial" w:cs="David"/>
          <w:sz w:val="24"/>
          <w:szCs w:val="24"/>
          <w:rtl/>
        </w:rPr>
        <w:t xml:space="preserve">  גרסה זו מוצאת אני לדחות, שכן, כמפורט לעיל, ההתנהלות בין הצדדים, והפניות לבית המשפט בבקשה לצווי הגנה, ליוותה את </w:t>
      </w:r>
      <w:r w:rsidRPr="00D62F0C">
        <w:rPr>
          <w:rFonts w:ascii="Arial" w:eastAsia="Times New Roman" w:hAnsi="Arial" w:cs="David"/>
          <w:sz w:val="24"/>
          <w:szCs w:val="24"/>
          <w:rtl/>
        </w:rPr>
        <w:lastRenderedPageBreak/>
        <w:t xml:space="preserve">הצדדים משך שנים. זאת ועוד,  ככל וכוונת התובעים במסגרת ההסכם הייתה בהענקת הזכויות לקטינים, לא מצאתי את נפקות טיב היחסים בין הצדדים עצמם, ומכאן, אין לראות בכך סיבה לשיהוי הנטען.   </w:t>
      </w:r>
    </w:p>
    <w:p w:rsidR="00D62F0C" w:rsidRPr="00D62F0C" w:rsidRDefault="00D62F0C" w:rsidP="00D62F0C">
      <w:pPr>
        <w:spacing w:line="254" w:lineRule="auto"/>
        <w:ind w:left="720"/>
        <w:contextualSpacing/>
        <w:rPr>
          <w:rFonts w:ascii="Arial" w:eastAsia="Times New Roman" w:hAnsi="Arial" w:cs="David"/>
          <w:sz w:val="24"/>
          <w:szCs w:val="24"/>
        </w:rPr>
      </w:pPr>
    </w:p>
    <w:p w:rsidR="00D62F0C" w:rsidRPr="00D62F0C" w:rsidRDefault="00D62F0C" w:rsidP="006A2A7E">
      <w:pPr>
        <w:numPr>
          <w:ilvl w:val="0"/>
          <w:numId w:val="1"/>
        </w:numPr>
        <w:spacing w:after="0" w:line="360" w:lineRule="auto"/>
        <w:contextualSpacing/>
        <w:jc w:val="both"/>
        <w:rPr>
          <w:rFonts w:ascii="Arial" w:eastAsia="Times New Roman" w:hAnsi="Arial" w:cs="David"/>
          <w:sz w:val="24"/>
          <w:szCs w:val="24"/>
          <w:rtl/>
        </w:rPr>
      </w:pPr>
      <w:r w:rsidRPr="00D62F0C">
        <w:rPr>
          <w:rFonts w:ascii="Arial" w:eastAsia="Times New Roman" w:hAnsi="Arial" w:cs="David"/>
          <w:sz w:val="24"/>
          <w:szCs w:val="24"/>
          <w:rtl/>
        </w:rPr>
        <w:t>את טענת התובעים ולפיה</w:t>
      </w:r>
      <w:r w:rsidRPr="00D62F0C">
        <w:rPr>
          <w:rFonts w:ascii="Arial" w:eastAsia="Times New Roman" w:hAnsi="Arial" w:cs="David"/>
          <w:sz w:val="24"/>
          <w:szCs w:val="24"/>
          <w:u w:val="single"/>
          <w:rtl/>
        </w:rPr>
        <w:t xml:space="preserve"> לא יכלו לעתור לביטול ההסכם מאחר ולא היה בידיהם העתק מההסכם, </w:t>
      </w:r>
      <w:r w:rsidRPr="00D62F0C">
        <w:rPr>
          <w:rFonts w:ascii="Arial" w:eastAsia="Times New Roman" w:hAnsi="Arial" w:cs="David"/>
          <w:sz w:val="24"/>
          <w:szCs w:val="24"/>
          <w:rtl/>
        </w:rPr>
        <w:t xml:space="preserve">מצאתי לדחות; שעה שאין חולק אודות חתימת הצדדים על הסכם המתנה, יכלו התובעים לפנות בסעד לביטול ההסכם, אף בהיעדר צירופו, ולחילופין, לעתור לסעד זמני המורה למחזיק להמציאו לידיהם. מעבר לכך, לא התרשמתי שכך היו פני הדברים; מעדותו של מר </w:t>
      </w:r>
      <w:r w:rsidR="006A2A7E">
        <w:rPr>
          <w:rFonts w:ascii="Arial" w:eastAsia="Times New Roman" w:hAnsi="Arial" w:cs="David" w:hint="cs"/>
          <w:sz w:val="24"/>
          <w:szCs w:val="24"/>
          <w:rtl/>
        </w:rPr>
        <w:t>***</w:t>
      </w:r>
      <w:r w:rsidRPr="00D62F0C">
        <w:rPr>
          <w:rFonts w:ascii="Arial" w:eastAsia="Times New Roman" w:hAnsi="Arial" w:cs="David"/>
          <w:sz w:val="24"/>
          <w:szCs w:val="24"/>
          <w:rtl/>
        </w:rPr>
        <w:t xml:space="preserve">, בנם, עולה שחודש לאחר כריתת ההסכם נודע לו אודותיו, ואז פנה באופן מיידי לקבלת העתקו, ברם 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סירב להמציאו, ורק בהתערבותו של עו"ד </w:t>
      </w:r>
      <w:r w:rsidR="006A2A7E">
        <w:rPr>
          <w:rFonts w:ascii="Arial" w:eastAsia="Times New Roman" w:hAnsi="Arial" w:cs="David" w:hint="cs"/>
          <w:sz w:val="24"/>
          <w:szCs w:val="24"/>
          <w:rtl/>
        </w:rPr>
        <w:t>***</w:t>
      </w:r>
      <w:r w:rsidRPr="00D62F0C">
        <w:rPr>
          <w:rFonts w:ascii="Arial" w:eastAsia="Times New Roman" w:hAnsi="Arial" w:cs="David"/>
          <w:sz w:val="24"/>
          <w:szCs w:val="24"/>
          <w:rtl/>
        </w:rPr>
        <w:t xml:space="preserve">, הומצא (ראה עדותו בעמוד 25 שורות 14-23 לפרוטוקול מיום 17.10.21). כך גם הצהיר בסעיף 23 לתצהיר עדותו הראשית, שלאחר חתימת ההסכם נפגש עם עו"ד </w:t>
      </w:r>
      <w:r w:rsidR="006A2A7E">
        <w:rPr>
          <w:rFonts w:ascii="Arial" w:eastAsia="Times New Roman" w:hAnsi="Arial" w:cs="David" w:hint="cs"/>
          <w:sz w:val="24"/>
          <w:szCs w:val="24"/>
          <w:rtl/>
        </w:rPr>
        <w:t>***</w:t>
      </w:r>
      <w:r w:rsidRPr="00D62F0C">
        <w:rPr>
          <w:rFonts w:ascii="Arial" w:eastAsia="Times New Roman" w:hAnsi="Arial" w:cs="David"/>
          <w:sz w:val="24"/>
          <w:szCs w:val="24"/>
          <w:rtl/>
        </w:rPr>
        <w:t xml:space="preserve">, בנוכחות אחיו </w:t>
      </w:r>
      <w:r w:rsidR="006A2A7E">
        <w:rPr>
          <w:rFonts w:ascii="Arial" w:eastAsia="Times New Roman" w:hAnsi="Arial" w:cs="David" w:hint="cs"/>
          <w:sz w:val="24"/>
          <w:szCs w:val="24"/>
          <w:rtl/>
        </w:rPr>
        <w:t>***</w:t>
      </w:r>
      <w:r w:rsidRPr="00D62F0C">
        <w:rPr>
          <w:rFonts w:ascii="Arial" w:eastAsia="Times New Roman" w:hAnsi="Arial" w:cs="David"/>
          <w:sz w:val="24"/>
          <w:szCs w:val="24"/>
          <w:rtl/>
        </w:rPr>
        <w:t xml:space="preserve">, ועו"ד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הסביר להם שלא ניתן לרשום את הזכויות בנכס ע"ש הקטינים, וכן שהדבר הוסבר להוריו. מעדותו זו עולה שהעובדה שהוראות ההסכם אינה כוללת את רישום הזכויות ע"ש הקטינים הייתה ידועה לתובעים בסמוך למועד בו נחתם, וכך גם הוצאתם למסגרת חוץ ביתית בשנת 2015. וחרף זאת, התובעים לא עתרו בכל סעד ולא העלו כל טענה בדבר הטעייתם בסמוך למועד בו העובדות הצריכות היו בידיעתם, וטענות אלה, נטענו רק במסגרת כתב התביעה השלישי, ובשיהוי ניכר. </w:t>
      </w:r>
    </w:p>
    <w:p w:rsidR="00D62F0C" w:rsidRPr="00D62F0C" w:rsidRDefault="00D62F0C" w:rsidP="00D62F0C">
      <w:pPr>
        <w:spacing w:after="0" w:line="240" w:lineRule="auto"/>
        <w:ind w:left="360"/>
        <w:contextualSpacing/>
        <w:jc w:val="both"/>
        <w:rPr>
          <w:rFonts w:ascii="Arial" w:eastAsia="Times New Roman" w:hAnsi="Arial" w:cs="David"/>
          <w:sz w:val="24"/>
          <w:szCs w:val="24"/>
        </w:rPr>
      </w:pPr>
    </w:p>
    <w:p w:rsidR="00D62F0C" w:rsidRPr="00D62F0C" w:rsidRDefault="00D62F0C" w:rsidP="006A2A7E">
      <w:pPr>
        <w:numPr>
          <w:ilvl w:val="0"/>
          <w:numId w:val="1"/>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t>עוד מצאתי לדחות את טענת התובעים ולפיה לא</w:t>
      </w:r>
      <w:r w:rsidRPr="00D62F0C">
        <w:rPr>
          <w:rFonts w:ascii="Arial" w:eastAsia="Times New Roman" w:hAnsi="Arial" w:cs="David"/>
          <w:sz w:val="24"/>
          <w:szCs w:val="24"/>
          <w:u w:val="single"/>
          <w:rtl/>
        </w:rPr>
        <w:t xml:space="preserve"> ידעו שהזכויות בנכס ירשמו ע"ש הקטינים, והוטעו  ע"י הנתבע ועו"ד </w:t>
      </w:r>
      <w:r w:rsidR="006A2A7E">
        <w:rPr>
          <w:rFonts w:ascii="Arial" w:eastAsia="Times New Roman" w:hAnsi="Arial" w:cs="David" w:hint="cs"/>
          <w:sz w:val="24"/>
          <w:szCs w:val="24"/>
          <w:u w:val="single"/>
          <w:rtl/>
        </w:rPr>
        <w:t>***</w:t>
      </w:r>
      <w:r w:rsidRPr="00D62F0C">
        <w:rPr>
          <w:rFonts w:ascii="Arial" w:eastAsia="Times New Roman" w:hAnsi="Arial" w:cs="David"/>
          <w:sz w:val="24"/>
          <w:szCs w:val="24"/>
          <w:rtl/>
        </w:rPr>
        <w:t>; בהלכה פסוקה נקבע כי "</w:t>
      </w:r>
      <w:r w:rsidRPr="00D62F0C">
        <w:rPr>
          <w:rFonts w:ascii="Arial" w:eastAsia="Times New Roman" w:hAnsi="Arial" w:cs="David"/>
          <w:b/>
          <w:bCs/>
          <w:sz w:val="24"/>
          <w:szCs w:val="24"/>
          <w:rtl/>
        </w:rPr>
        <w:t>בדרך כלל דין הוא, שאדם החותם על מסמך בלא לדעת תכנו, לא יישמע בטענה שלא קרא את המסמך ולא ידע על מה חתם ובמה התחייב. חזקה עליו שחתם לאות הסכמתו, יהא תוכן המסמך אשר יהא</w:t>
      </w:r>
      <w:r w:rsidRPr="00D62F0C">
        <w:rPr>
          <w:rFonts w:ascii="Arial" w:eastAsia="Times New Roman" w:hAnsi="Arial" w:cs="David"/>
          <w:sz w:val="24"/>
          <w:szCs w:val="24"/>
          <w:rtl/>
        </w:rPr>
        <w:t xml:space="preserve">" (ראו למשל: ע"א 1548/96 בנק איגוד לישראל בע"מ נ' לופו, פ"ד נד(2)559; ע"א 467/64 שוויץ נ' סנדור, פ"ד יט(2)113). עוד נקבע, שעל המבקש לסתור חזקה זו להוכיח גרסתו בראיות פוזיטיביות כאפשרות קרובה (ע"א 1548/96 הנ"ל והפסיקה המוזכרת שם);  לאחר ששמעתי את עדויות הצדדים ועיינתי בראיות שהוצגו לעיוני, התרשמתי באופן מלא שהעובדה שהזכויות ירשמו ע"ש הנתבע הייתה בידיעת התובעים במועד כריתת ההסכם, והם חתמו עליו בהבנה ובגמירות דעת מלאה. ובמה דברים אמורים? על פי הסכמת הצדדים בדיון מיום 22.5.22, עדותו של 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תהא כפי שהוגשה בתגובת התובעים, ואין מחלוקת עובדתית לגביה, תוך שמשקלה יקבע ע"י בית המשפט (ראה עמוד 38 שורות 11-12 לפרוטוקול  מיום 22.5.22). אבהיר למען הסר ספק שכוונת הצדדים הייתה למכתב תגובה שנערך ע"י עו"ד מנאע ביום 21/8/20 ונשלח במענה לתלונה שהוגשה כנגדו ע"י התובע ללשכת עורכי הדין (נספח 12 לתצהיר התובע שהוגש לתיק בית המשפט ביום 4/5/21). מכאן, הצדדים הסכימו על הגרסה העובדתית אותה פירט 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ואשר לה מצאתי ליתן משקל רב במסגרת השיקולים בהכרעתי; אכן, 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זומן לעדות ולא התייצב לחקירה פעמיים, מפאת נסיבות רפואיות, לטענתו. וחרף זאת, לא מצאתי לקבל את עמדת ב"כ התובעים לפיה המדובר בהתחמקות מכוונת, הן מהטעם שהיעדרותו גובתה </w:t>
      </w:r>
      <w:r w:rsidRPr="00D62F0C">
        <w:rPr>
          <w:rFonts w:ascii="Arial" w:eastAsia="Times New Roman" w:hAnsi="Arial" w:cs="David"/>
          <w:sz w:val="24"/>
          <w:szCs w:val="24"/>
          <w:rtl/>
        </w:rPr>
        <w:lastRenderedPageBreak/>
        <w:t xml:space="preserve">במסמכים רפואיים, והן מהטעם שלא הוצג לפניי כל טיעון מניח את הדעת להתחמקות הנטענת או להתנהלות בלתי תקינה, ובכלל זה כמי שפועל באופן מוטה. מתגובתו העובדתית המפורטת עולה, שעו"ד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אישר את גרסת התובעים ולפיה רצונם תחילה היה ברישום הזכויות ע"ש הקטינים, ברם, לאחר בדיקה, בפגישה שנייה הבהיר לתובעים את המשמעות המשפטית, ובהסכמתם, נקבע בהוראות ההסכם שהזכויות יועברו ע"ש הנתבע. כן פירט 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את השתלשלות הדברים עובר לכריתת החוזה, ובכלל זה שבפעם הראשונה נפגש עם התובעים והנתבע, ואלה הסבירו לו את רצונם ואת מטרת ההסכם. לאחר שבדק, התקיימה פגישה נוספת בנוכחות מר </w:t>
      </w:r>
      <w:r w:rsidR="006A2A7E">
        <w:rPr>
          <w:rFonts w:ascii="Arial" w:eastAsia="Times New Roman" w:hAnsi="Arial" w:cs="David" w:hint="cs"/>
          <w:sz w:val="24"/>
          <w:szCs w:val="24"/>
          <w:rtl/>
        </w:rPr>
        <w:t>***</w:t>
      </w:r>
      <w:r w:rsidRPr="00D62F0C">
        <w:rPr>
          <w:rFonts w:ascii="Arial" w:eastAsia="Times New Roman" w:hAnsi="Arial" w:cs="David"/>
          <w:sz w:val="24"/>
          <w:szCs w:val="24"/>
          <w:rtl/>
        </w:rPr>
        <w:t xml:space="preserve">, מסגרתה הבהיר את הקושי ברישום הזכויות. באותה פגישה הוסבר לתובע שהזכויות ירשמו ע"ש הנתבע והוראות ההסכם תורגמו לערבית. לתובע ניתנה הזכות להתייעץ, ולאחר שדיבר עם התובעת זו הגיעה למשרדו. אז שוב הוסברו הוראות ההסכם ותורגמו, וזאת בנוכחות מר </w:t>
      </w:r>
      <w:r w:rsidR="006A2A7E">
        <w:rPr>
          <w:rFonts w:ascii="Arial" w:eastAsia="Times New Roman" w:hAnsi="Arial" w:cs="David" w:hint="cs"/>
          <w:sz w:val="24"/>
          <w:szCs w:val="24"/>
          <w:rtl/>
        </w:rPr>
        <w:t>***</w:t>
      </w:r>
      <w:r w:rsidRPr="00D62F0C">
        <w:rPr>
          <w:rFonts w:ascii="Arial" w:eastAsia="Times New Roman" w:hAnsi="Arial" w:cs="David"/>
          <w:sz w:val="24"/>
          <w:szCs w:val="24"/>
          <w:rtl/>
        </w:rPr>
        <w:t xml:space="preserve">, והצדדים חתמו על ההסכם. באותו מעמד חתמו התובעים על יפוי כח לטובתו ע"מ שיוכל לברר את סטטוס רישום הזכויות על שמם. לאחר מכן, התובעת ביקרה בביתו מספר פעמים וביקשה לקדם את הנושא בכדי שתוכל לפעול להשבת הקטינים לביתה. כן עולה, שהפנייה הראשונה מצד התובעת לשינוי מהוראות ההסכם הייתה לאחר כל האמור, ובהמשך, ביום 26/3/17 פנתה בכתב וביקשה לקבל את מסמכי העסקה. לא מצאתי לקבל את גרסת התובעים ולפיה 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פעל לטובת הנתבע, אגב הפרת חובותיו כלפיהם, ולבטח שלא אגב הטעייה. העובדה שלאחר כריתת ההסכם הנתבע שכר את שירותיו לעניינם נוספים, אינה מובילה למסקנה ולפיה הפר חובתו המקצועית. התרשמתי שלעו"ד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לא היה כל עניין או אינטרס בעסקה, זולת מילוי תפקידו כב"כ שני הצדדים להסכם. כן, לא עלה בידי התובעים לסתור את גרסתו, ומשכך מצאתי להעדיף את עדותו בהיות עד ניטרלי, על פני גרסת התובעים אשר הועלתה בשיהוי ניכר. </w:t>
      </w:r>
    </w:p>
    <w:p w:rsidR="00D62F0C" w:rsidRPr="00D62F0C" w:rsidRDefault="00D62F0C" w:rsidP="00D62F0C">
      <w:pPr>
        <w:spacing w:after="0" w:line="240" w:lineRule="auto"/>
        <w:ind w:left="360"/>
        <w:contextualSpacing/>
        <w:jc w:val="both"/>
        <w:rPr>
          <w:rFonts w:ascii="Arial" w:eastAsia="Times New Roman" w:hAnsi="Arial" w:cs="David"/>
          <w:sz w:val="24"/>
          <w:szCs w:val="24"/>
        </w:rPr>
      </w:pPr>
    </w:p>
    <w:p w:rsidR="00D62F0C" w:rsidRPr="00D62F0C" w:rsidRDefault="00D62F0C" w:rsidP="006A2A7E">
      <w:pPr>
        <w:numPr>
          <w:ilvl w:val="0"/>
          <w:numId w:val="1"/>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t xml:space="preserve">זאת ועוד; התובע ציין שמר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קרוב משפחתם, יחד עם הנתבע, שכנעו אותו להעביר את הזכויות בנכס על שם הקטינים (ראה סעיף 4 לתצהירו). עוד עולה מעדותו, שמר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היה נוכח בפגישה במשרדו של 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(ראה עמוד 22 שורות 24 לפרוטוקול מיום 17.10.21), ועובדה זו מצאה את מקומה גם במכתבו של עו"ד </w:t>
      </w:r>
      <w:r w:rsidR="006A2A7E">
        <w:rPr>
          <w:rFonts w:ascii="Arial" w:eastAsia="Times New Roman" w:hAnsi="Arial" w:cs="David" w:hint="cs"/>
          <w:sz w:val="24"/>
          <w:szCs w:val="24"/>
          <w:rtl/>
        </w:rPr>
        <w:t>***</w:t>
      </w:r>
      <w:r w:rsidRPr="00D62F0C">
        <w:rPr>
          <w:rFonts w:ascii="Arial" w:eastAsia="Times New Roman" w:hAnsi="Arial" w:cs="David"/>
          <w:sz w:val="24"/>
          <w:szCs w:val="24"/>
          <w:rtl/>
        </w:rPr>
        <w:t xml:space="preserve">. וחרף  זאת, התובעים נמנעו מזימונו לעדות, ואף גרסו שחובה זו מונחת לפתחם של הנתבעים. טענה זו מוצאת אני לדחות; כידוע, נטל ההוכחה מוטל לפתחם של התובעים, ובענייננו חובה זו לא שונתה. סבורני כי עדותו של מר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צריכה לבירור המחלוקת, והייתה יכולה לשפוך אור על נסיבות העניין. על כן, הימנעותם זו של התובעים,  כחזקה שהבאתו הייתה פועלת לחובתם (ר' יעקב קדמי על הראיות (חלק שלישי - מהדורה מורחבת ומתוקנת - 2003),</w:t>
      </w:r>
      <w:r w:rsidRPr="00D62F0C">
        <w:rPr>
          <w:rFonts w:ascii="Arial" w:eastAsia="Times New Roman" w:hAnsi="Arial" w:cs="David"/>
          <w:b/>
          <w:bCs/>
          <w:sz w:val="24"/>
          <w:szCs w:val="24"/>
          <w:rtl/>
        </w:rPr>
        <w:t xml:space="preserve"> </w:t>
      </w:r>
      <w:r w:rsidRPr="00D62F0C">
        <w:rPr>
          <w:rFonts w:ascii="Arial" w:eastAsia="Times New Roman" w:hAnsi="Arial" w:cs="David"/>
          <w:sz w:val="24"/>
          <w:szCs w:val="24"/>
          <w:rtl/>
        </w:rPr>
        <w:t xml:space="preserve">כמו גם שבחקירתו, יכול והיה לתמוך בגרסת הנתבעים. כך גם, </w:t>
      </w:r>
      <w:r w:rsidRPr="00D62F0C">
        <w:rPr>
          <w:rFonts w:ascii="Arial" w:eastAsia="Times New Roman" w:hAnsi="Arial" w:cs="David"/>
          <w:b/>
          <w:bCs/>
          <w:sz w:val="24"/>
          <w:szCs w:val="24"/>
          <w:rtl/>
        </w:rPr>
        <w:t>"אי הבאתו של עד רלוונטי מעוררת, מדרך הטבע, את החשד, כי יש דברים בגו וכי בעל הדין, שנמנע מהבאתו, חושש מעדותו וחשיפתו לחקירה שכנגד"</w:t>
      </w:r>
      <w:r w:rsidRPr="00D62F0C">
        <w:rPr>
          <w:rFonts w:ascii="Arial" w:eastAsia="Times New Roman" w:hAnsi="Arial" w:cs="David"/>
          <w:sz w:val="24"/>
          <w:szCs w:val="24"/>
          <w:rtl/>
        </w:rPr>
        <w:t xml:space="preserve"> (ע"א 465/88 הבנק למימון ולסחר בע"מ נ' מתתיהו). עובדה זו מקבלת משנה תוקף עת מעיון בתצהיר עדות הראשית המתוקן של התובע (שהוגש לתיק ביום 4.5.21) עולה שהוא בעצמו צירף תצהיר שנחתם ע"י מר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ביום 13.9.20 בתמיכה לתגובתו של 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לתלונה שהוגשה כנגדו ללשכת עו"ד. בתצהיר, </w:t>
      </w:r>
      <w:r w:rsidRPr="00D62F0C">
        <w:rPr>
          <w:rFonts w:ascii="Arial" w:eastAsia="Times New Roman" w:hAnsi="Arial" w:cs="David"/>
          <w:sz w:val="24"/>
          <w:szCs w:val="24"/>
          <w:rtl/>
        </w:rPr>
        <w:lastRenderedPageBreak/>
        <w:t xml:space="preserve">הצהיר מר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שהתובעים ביקשו להעביר את הזכויות על שם הקטינים, ברם, לאחר שעו"ד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הסביר להם שפעולה זו דורשת את אישור בית המשפט, הוסכם שהזכויות יועברו על שם הנתבע. עוד הצהיר מר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בתצהירו שהוראות ההסכם לרבות נפקותן הוסברה לתובע ע"י עו"ד </w:t>
      </w:r>
      <w:r w:rsidR="006A2A7E">
        <w:rPr>
          <w:rFonts w:ascii="Arial" w:eastAsia="Times New Roman" w:hAnsi="Arial" w:cs="David" w:hint="cs"/>
          <w:sz w:val="24"/>
          <w:szCs w:val="24"/>
          <w:rtl/>
        </w:rPr>
        <w:t xml:space="preserve">*** </w:t>
      </w:r>
      <w:r w:rsidRPr="00D62F0C">
        <w:rPr>
          <w:rFonts w:ascii="Arial" w:eastAsia="Times New Roman" w:hAnsi="Arial" w:cs="David"/>
          <w:sz w:val="24"/>
          <w:szCs w:val="24"/>
          <w:rtl/>
        </w:rPr>
        <w:t xml:space="preserve">ותורגמו לשפה הערבית על אף שהתובע הצהיר שהוא מבין עברית היטב, וכן ניתנה לו הזכות להתייעץ. לאחר ששוחח עם התובעת, ההסכם נחתם על ידו, ברצונו החופשי. לאמור, גרסתו זו תומכת בגרסת עו"ד </w:t>
      </w:r>
      <w:r w:rsidR="006A2A7E">
        <w:rPr>
          <w:rFonts w:ascii="Arial" w:eastAsia="Times New Roman" w:hAnsi="Arial" w:cs="David" w:hint="cs"/>
          <w:sz w:val="24"/>
          <w:szCs w:val="24"/>
          <w:rtl/>
        </w:rPr>
        <w:t>***</w:t>
      </w:r>
      <w:r w:rsidRPr="00D62F0C">
        <w:rPr>
          <w:rFonts w:ascii="Arial" w:eastAsia="Times New Roman" w:hAnsi="Arial" w:cs="David"/>
          <w:sz w:val="24"/>
          <w:szCs w:val="24"/>
          <w:rtl/>
        </w:rPr>
        <w:t>, ולא בגרסת התובעים.</w:t>
      </w:r>
    </w:p>
    <w:p w:rsidR="00D62F0C" w:rsidRPr="00D62F0C" w:rsidRDefault="00D62F0C" w:rsidP="00D62F0C">
      <w:pPr>
        <w:spacing w:line="254" w:lineRule="auto"/>
        <w:ind w:left="720"/>
        <w:contextualSpacing/>
        <w:rPr>
          <w:rFonts w:ascii="Arial" w:eastAsia="Times New Roman" w:hAnsi="Arial" w:cs="David"/>
          <w:sz w:val="24"/>
          <w:szCs w:val="24"/>
        </w:rPr>
      </w:pPr>
    </w:p>
    <w:p w:rsidR="00D62F0C" w:rsidRPr="00D62F0C" w:rsidRDefault="00D62F0C" w:rsidP="00D62F0C">
      <w:pPr>
        <w:numPr>
          <w:ilvl w:val="0"/>
          <w:numId w:val="1"/>
        </w:numPr>
        <w:spacing w:after="0" w:line="360" w:lineRule="auto"/>
        <w:contextualSpacing/>
        <w:jc w:val="both"/>
        <w:rPr>
          <w:rFonts w:ascii="Arial" w:eastAsia="Times New Roman" w:hAnsi="Arial" w:cs="David"/>
          <w:sz w:val="24"/>
          <w:szCs w:val="24"/>
          <w:rtl/>
        </w:rPr>
      </w:pPr>
      <w:r w:rsidRPr="00D62F0C">
        <w:rPr>
          <w:rFonts w:ascii="Arial" w:eastAsia="Times New Roman" w:hAnsi="Arial" w:cs="David"/>
          <w:sz w:val="24"/>
          <w:szCs w:val="24"/>
          <w:rtl/>
        </w:rPr>
        <w:t xml:space="preserve">עוד מצאתי לדחות את טענת התובעים ולפיה </w:t>
      </w:r>
      <w:r w:rsidRPr="00D62F0C">
        <w:rPr>
          <w:rFonts w:ascii="Arial" w:eastAsia="Times New Roman" w:hAnsi="Arial" w:cs="David"/>
          <w:sz w:val="24"/>
          <w:szCs w:val="24"/>
          <w:u w:val="single"/>
          <w:rtl/>
        </w:rPr>
        <w:t>המדובר בהסכם על תנאי, ועת לא קוים, יש להורות על ביטולו;</w:t>
      </w:r>
      <w:r w:rsidRPr="00D62F0C">
        <w:rPr>
          <w:rFonts w:ascii="Arial" w:eastAsia="Times New Roman" w:hAnsi="Arial" w:cs="David"/>
          <w:sz w:val="24"/>
          <w:szCs w:val="24"/>
          <w:rtl/>
        </w:rPr>
        <w:t xml:space="preserve">  בסעיף 4 בחוק המתנה, תשכ"ח – 1968 (להלן: </w:t>
      </w:r>
      <w:r w:rsidRPr="00D62F0C">
        <w:rPr>
          <w:rFonts w:ascii="Arial" w:eastAsia="Times New Roman" w:hAnsi="Arial" w:cs="David"/>
          <w:b/>
          <w:bCs/>
          <w:sz w:val="24"/>
          <w:szCs w:val="24"/>
          <w:rtl/>
        </w:rPr>
        <w:t>"חוק המתנה"</w:t>
      </w:r>
      <w:r w:rsidRPr="00D62F0C">
        <w:rPr>
          <w:rFonts w:ascii="Arial" w:eastAsia="Times New Roman" w:hAnsi="Arial" w:cs="David"/>
          <w:sz w:val="24"/>
          <w:szCs w:val="24"/>
          <w:rtl/>
        </w:rPr>
        <w:t xml:space="preserve">) נקבע לאמור: </w:t>
      </w:r>
    </w:p>
    <w:p w:rsidR="00D62F0C" w:rsidRPr="00D62F0C" w:rsidRDefault="00D62F0C" w:rsidP="00D62F0C">
      <w:pPr>
        <w:spacing w:line="360" w:lineRule="auto"/>
        <w:ind w:left="357"/>
        <w:contextualSpacing/>
        <w:jc w:val="both"/>
        <w:rPr>
          <w:rFonts w:ascii="David" w:eastAsia="Calibri" w:hAnsi="David" w:cs="David"/>
          <w:b/>
          <w:bCs/>
          <w:sz w:val="24"/>
          <w:szCs w:val="24"/>
          <w:rtl/>
        </w:rPr>
      </w:pPr>
      <w:r w:rsidRPr="00D62F0C">
        <w:rPr>
          <w:rFonts w:ascii="David" w:eastAsia="Calibri" w:hAnsi="David" w:cs="David"/>
          <w:b/>
          <w:bCs/>
          <w:sz w:val="24"/>
          <w:szCs w:val="24"/>
          <w:rtl/>
        </w:rPr>
        <w:t>"מתנה יכול שתהיה על תנאי ויכול שתחייב את המקבל לעשות מעשה בדבר-המתנה או להימנע מעשותו; נותן המתנה רשאי לדרוש מהמקבל את מילוי החיוב, ורשאי לדרוש זאת מי שהחיוב הוא לזכותו, ואם היה בדבר ענין לציבור – היועץ המשפטי לממשלה או בא כוחו</w:t>
      </w:r>
      <w:r w:rsidRPr="00D62F0C">
        <w:rPr>
          <w:rFonts w:ascii="David" w:eastAsia="Calibri" w:hAnsi="David" w:cs="David"/>
          <w:b/>
          <w:bCs/>
          <w:sz w:val="24"/>
          <w:szCs w:val="24"/>
        </w:rPr>
        <w:t>"</w:t>
      </w:r>
      <w:r w:rsidRPr="00D62F0C">
        <w:rPr>
          <w:rFonts w:ascii="David" w:eastAsia="Calibri" w:hAnsi="David" w:cs="David"/>
          <w:b/>
          <w:bCs/>
          <w:sz w:val="24"/>
          <w:szCs w:val="24"/>
          <w:rtl/>
        </w:rPr>
        <w:t xml:space="preserve">. </w:t>
      </w:r>
    </w:p>
    <w:p w:rsidR="00D62F0C" w:rsidRPr="00D62F0C" w:rsidRDefault="00D62F0C" w:rsidP="00D62F0C">
      <w:pPr>
        <w:spacing w:line="240" w:lineRule="auto"/>
        <w:ind w:left="357"/>
        <w:contextualSpacing/>
        <w:jc w:val="both"/>
        <w:rPr>
          <w:rFonts w:ascii="David" w:eastAsia="Calibri" w:hAnsi="David" w:cs="David"/>
          <w:b/>
          <w:bCs/>
          <w:sz w:val="24"/>
          <w:szCs w:val="24"/>
          <w:rtl/>
        </w:rPr>
      </w:pPr>
    </w:p>
    <w:p w:rsidR="00D62F0C" w:rsidRPr="00D62F0C" w:rsidRDefault="00D62F0C" w:rsidP="00D62F0C">
      <w:pPr>
        <w:numPr>
          <w:ilvl w:val="0"/>
          <w:numId w:val="1"/>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t xml:space="preserve">כאשר מדובר בהתחייבות להענקת מתנה המותנית בתנאי מפסיק, ההתחייבות תחדל להתקיים כאשר יקויים התנאי. אפנה לע"א 495/80 </w:t>
      </w:r>
      <w:r w:rsidRPr="00D62F0C">
        <w:rPr>
          <w:rFonts w:ascii="Arial" w:eastAsia="Times New Roman" w:hAnsi="Arial" w:cs="David"/>
          <w:b/>
          <w:bCs/>
          <w:sz w:val="24"/>
          <w:szCs w:val="24"/>
          <w:rtl/>
        </w:rPr>
        <w:t xml:space="preserve">ברקוביץ נ' קלימר, פ"ד לו(4)57 </w:t>
      </w:r>
      <w:r w:rsidRPr="00D62F0C">
        <w:rPr>
          <w:rFonts w:ascii="Arial" w:eastAsia="Times New Roman" w:hAnsi="Arial" w:cs="David"/>
          <w:sz w:val="24"/>
          <w:szCs w:val="24"/>
          <w:rtl/>
        </w:rPr>
        <w:t>שם נקבע</w:t>
      </w:r>
      <w:r w:rsidRPr="00D62F0C">
        <w:rPr>
          <w:rFonts w:ascii="Arial" w:eastAsia="Times New Roman" w:hAnsi="Arial" w:cs="David"/>
          <w:b/>
          <w:bCs/>
          <w:sz w:val="24"/>
          <w:szCs w:val="24"/>
          <w:rtl/>
        </w:rPr>
        <w:t xml:space="preserve"> </w:t>
      </w:r>
      <w:r w:rsidRPr="00D62F0C">
        <w:rPr>
          <w:rFonts w:ascii="Arial" w:eastAsia="Times New Roman" w:hAnsi="Arial" w:cs="David"/>
          <w:sz w:val="24"/>
          <w:szCs w:val="24"/>
          <w:rtl/>
        </w:rPr>
        <w:t>כי  "</w:t>
      </w:r>
      <w:r w:rsidRPr="00D62F0C">
        <w:rPr>
          <w:rFonts w:ascii="Arial" w:eastAsia="Times New Roman" w:hAnsi="Arial" w:cs="David"/>
          <w:b/>
          <w:bCs/>
          <w:sz w:val="24"/>
          <w:szCs w:val="24"/>
          <w:rtl/>
        </w:rPr>
        <w:t>בהתקיים התנאי המפסיק אין חוזה המתנה מופר ואין נולדת זכות לביטול</w:t>
      </w:r>
      <w:r w:rsidRPr="00D62F0C">
        <w:rPr>
          <w:rFonts w:ascii="Arial" w:eastAsia="Times New Roman" w:hAnsi="Arial" w:cs="David"/>
          <w:sz w:val="24"/>
          <w:szCs w:val="24"/>
          <w:rtl/>
        </w:rPr>
        <w:t>".  מאידך, כאשר המדובר במתנה בחיוב, החיוב  מטיל על מקבל המתנה התחייבות לעשות מעשה, אולם, ביצוע החיוב אינו תנאי להקניה.</w:t>
      </w:r>
    </w:p>
    <w:p w:rsidR="00D62F0C" w:rsidRPr="00D62F0C" w:rsidRDefault="00D62F0C" w:rsidP="00D62F0C">
      <w:pPr>
        <w:spacing w:after="0" w:line="240" w:lineRule="auto"/>
        <w:ind w:left="360"/>
        <w:contextualSpacing/>
        <w:jc w:val="both"/>
        <w:rPr>
          <w:rFonts w:ascii="Arial" w:eastAsia="Times New Roman" w:hAnsi="Arial" w:cs="David"/>
          <w:sz w:val="24"/>
          <w:szCs w:val="24"/>
        </w:rPr>
      </w:pPr>
    </w:p>
    <w:p w:rsidR="00D62F0C" w:rsidRPr="00D62F0C" w:rsidRDefault="00D62F0C" w:rsidP="00D62F0C">
      <w:pPr>
        <w:numPr>
          <w:ilvl w:val="0"/>
          <w:numId w:val="1"/>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t>על מנת להכריע בשאלת טיבה של המתנה, היינו באם מדובר במתנה מותנית או מתנה בחיוב, יש לברר את רצון הנותן וזאת על פי כללים הקבועים בדיני פרשנות חוזה, קרי, כוונת הצדדים ואומד דעתם כפי שהם משתקפים מנסיבות. אלה יבחנו תחילה מלשון ההסכם, וככל ולא יהיה בה די,  יבחנו הנסיבות החיצוניות הספציפיות למקרה; בנוסף, "</w:t>
      </w:r>
      <w:r w:rsidRPr="00D62F0C">
        <w:rPr>
          <w:rFonts w:ascii="Arial" w:eastAsia="Times New Roman" w:hAnsi="Arial" w:cs="David"/>
          <w:b/>
          <w:bCs/>
          <w:sz w:val="24"/>
          <w:szCs w:val="24"/>
          <w:rtl/>
        </w:rPr>
        <w:t>במקרים של ספק יעדיף בית המשפט את הפירוש לפיו הענקת הנכס הייתה מלווה בחיוב, על פני פירוש שלפיו הוענק הנכס בכפיפות לתנאי מפסיק"</w:t>
      </w:r>
      <w:r w:rsidRPr="00D62F0C">
        <w:rPr>
          <w:rFonts w:ascii="Arial" w:eastAsia="Times New Roman" w:hAnsi="Arial" w:cs="David"/>
          <w:sz w:val="24"/>
          <w:szCs w:val="24"/>
          <w:rtl/>
        </w:rPr>
        <w:t xml:space="preserve"> (ראה פרופ' י. ויסמן בספרו דיני קניין – בעלות ושיתוף, חלק ב' בעמ' 106). </w:t>
      </w:r>
    </w:p>
    <w:p w:rsidR="00D62F0C" w:rsidRPr="00D62F0C" w:rsidRDefault="00D62F0C" w:rsidP="00D62F0C">
      <w:pPr>
        <w:spacing w:line="240" w:lineRule="auto"/>
        <w:ind w:left="720"/>
        <w:contextualSpacing/>
        <w:rPr>
          <w:rFonts w:ascii="Arial" w:eastAsia="Times New Roman" w:hAnsi="Arial" w:cs="David"/>
          <w:sz w:val="24"/>
          <w:szCs w:val="24"/>
        </w:rPr>
      </w:pPr>
    </w:p>
    <w:p w:rsidR="00D62F0C" w:rsidRPr="00D62F0C" w:rsidRDefault="00D62F0C" w:rsidP="006A2A7E">
      <w:pPr>
        <w:numPr>
          <w:ilvl w:val="0"/>
          <w:numId w:val="1"/>
        </w:numPr>
        <w:spacing w:after="0" w:line="360" w:lineRule="auto"/>
        <w:contextualSpacing/>
        <w:jc w:val="both"/>
        <w:rPr>
          <w:rFonts w:ascii="Arial" w:eastAsia="Times New Roman" w:hAnsi="Arial" w:cs="David"/>
          <w:sz w:val="24"/>
          <w:szCs w:val="24"/>
          <w:rtl/>
        </w:rPr>
      </w:pPr>
      <w:r w:rsidRPr="00D62F0C">
        <w:rPr>
          <w:rFonts w:ascii="Arial" w:eastAsia="Times New Roman" w:hAnsi="Arial" w:cs="David"/>
          <w:sz w:val="24"/>
          <w:szCs w:val="24"/>
          <w:rtl/>
        </w:rPr>
        <w:t xml:space="preserve">מעדות התובעים מצאתי שהמדובר במתנה בחיוב ולא במתנה מותנית; אכן, מהראיות שהובאו כמו גם עדות הצדדים התרשמתי שכוונת התובעים הייתה להעניק לקטינים מקום מגורים מרווח יותר, ולפעול יחד עם הנתבע להשבתם לחזקתו, לאחר שהוצאו למסגרת חוץ ביתית. טענת התובעים תואמת את האמור במכתבו של עו"ד </w:t>
      </w:r>
      <w:r w:rsidR="006A2A7E">
        <w:rPr>
          <w:rFonts w:ascii="Arial" w:eastAsia="Times New Roman" w:hAnsi="Arial" w:cs="David" w:hint="cs"/>
          <w:sz w:val="24"/>
          <w:szCs w:val="24"/>
          <w:rtl/>
        </w:rPr>
        <w:t>***</w:t>
      </w:r>
      <w:r w:rsidRPr="00D62F0C">
        <w:rPr>
          <w:rFonts w:ascii="Arial" w:eastAsia="Times New Roman" w:hAnsi="Arial" w:cs="David"/>
          <w:sz w:val="24"/>
          <w:szCs w:val="24"/>
          <w:rtl/>
        </w:rPr>
        <w:t xml:space="preserve">, ואשר לגרסתו מצאתי ליתן משקל רב, כמפורט לעיל. חרף זאת, לא מצאתי לקבוע שהשבת הקטינים לבית הנתבע, או כל טענה אחרת אשר הועלתה לעניין זה ע"י התובעים, הייתה תנאי לקיום ההסכם, וזאת משני נימוקים;  </w:t>
      </w:r>
    </w:p>
    <w:p w:rsidR="00D62F0C" w:rsidRPr="00D62F0C" w:rsidRDefault="00D62F0C" w:rsidP="00D62F0C">
      <w:pPr>
        <w:spacing w:line="254" w:lineRule="auto"/>
        <w:ind w:left="720"/>
        <w:contextualSpacing/>
        <w:rPr>
          <w:rFonts w:ascii="Arial" w:eastAsia="Times New Roman" w:hAnsi="Arial" w:cs="David"/>
          <w:sz w:val="24"/>
          <w:szCs w:val="24"/>
        </w:rPr>
      </w:pPr>
    </w:p>
    <w:p w:rsidR="00D62F0C" w:rsidRPr="00D62F0C" w:rsidRDefault="00D62F0C" w:rsidP="00D62F0C">
      <w:pPr>
        <w:spacing w:after="0" w:line="360" w:lineRule="auto"/>
        <w:ind w:left="360"/>
        <w:contextualSpacing/>
        <w:jc w:val="both"/>
        <w:rPr>
          <w:rFonts w:ascii="Arial" w:eastAsia="Times New Roman" w:hAnsi="Arial" w:cs="David"/>
          <w:sz w:val="24"/>
          <w:szCs w:val="24"/>
          <w:rtl/>
        </w:rPr>
      </w:pPr>
    </w:p>
    <w:p w:rsidR="00D62F0C" w:rsidRPr="00D62F0C" w:rsidRDefault="00D62F0C" w:rsidP="00D62F0C">
      <w:pPr>
        <w:spacing w:after="0" w:line="360" w:lineRule="auto"/>
        <w:ind w:left="360"/>
        <w:contextualSpacing/>
        <w:jc w:val="both"/>
        <w:rPr>
          <w:rFonts w:ascii="Arial" w:eastAsia="Times New Roman" w:hAnsi="Arial" w:cs="David"/>
          <w:sz w:val="24"/>
          <w:szCs w:val="24"/>
        </w:rPr>
      </w:pPr>
      <w:r w:rsidRPr="00D62F0C">
        <w:rPr>
          <w:rFonts w:ascii="Arial" w:eastAsia="Times New Roman" w:hAnsi="Arial" w:cs="David"/>
          <w:sz w:val="24"/>
          <w:szCs w:val="24"/>
          <w:u w:val="single"/>
          <w:rtl/>
        </w:rPr>
        <w:lastRenderedPageBreak/>
        <w:t>הנימוק הראשון</w:t>
      </w:r>
      <w:r w:rsidRPr="00D62F0C">
        <w:rPr>
          <w:rFonts w:ascii="Arial" w:eastAsia="Times New Roman" w:hAnsi="Arial" w:cs="David"/>
          <w:sz w:val="24"/>
          <w:szCs w:val="24"/>
          <w:rtl/>
        </w:rPr>
        <w:t xml:space="preserve">, כפי שיפורט בהמשך, המדובר במתנה מוגמרת, לאחר שהוראות ההסכם  קוימו. לאמור, גם באם היה מדובר בהסכם על תנאי, עת קויים בפועל, אגב כך שלעניין זה אציין שהוראותיו בפועל בוצעו אף לפני כריתתו, חזקה על התובעים, שהתנאי התקיים. זאת ועוד, אף התנאי לא היה מקויים, לא היה בכך בכדי להביא לביטול המתנה. אפנה לעניין זה לדבריו של כבוד השופט מ' שמגר ע"א 343/87 דפנה פרי נ' משה פרי, מד(2) 154 (1990): </w:t>
      </w:r>
    </w:p>
    <w:p w:rsidR="00D62F0C" w:rsidRPr="00D62F0C" w:rsidRDefault="00D62F0C" w:rsidP="00D62F0C">
      <w:pPr>
        <w:spacing w:after="0" w:line="360" w:lineRule="auto"/>
        <w:ind w:left="360"/>
        <w:contextualSpacing/>
        <w:jc w:val="both"/>
        <w:rPr>
          <w:rFonts w:ascii="Arial" w:eastAsia="Times New Roman" w:hAnsi="Arial" w:cs="David"/>
          <w:sz w:val="24"/>
          <w:szCs w:val="24"/>
          <w:rtl/>
        </w:rPr>
      </w:pPr>
      <w:r w:rsidRPr="00D62F0C">
        <w:rPr>
          <w:rFonts w:ascii="Arial" w:eastAsia="Times New Roman" w:hAnsi="Arial" w:cs="David"/>
          <w:b/>
          <w:bCs/>
          <w:sz w:val="24"/>
          <w:szCs w:val="24"/>
          <w:rtl/>
        </w:rPr>
        <w:t>"לדידי הן חוזה המתנה והן החיוב הם חוזים דו-צדדיים; בראשון נובעת הדו-צדדיות מן הנתינה ומולה באה הסכמה לקבל את המתנה בתור שכזאת. במערכת הנסיבות השנייה באה המתנה ומולה ההסכמה ליטול את החיוב. מקבל מתנה אשר אליה צמוד חיוב, אשר מפר את החיוב, מפר כך חיוב חוזי. על-כן קובע סעיף 4הנ"ל, כי נותן המתנה רשאי לדרוש מן המקבל את מילוי החיוב. האם רשאי נותן המתנה לבטל את חוזה המתנה, אם החיוב לא קוים? סעיף</w:t>
      </w:r>
      <w:r w:rsidRPr="00D62F0C">
        <w:rPr>
          <w:rFonts w:ascii="Arial" w:eastAsia="Times New Roman" w:hAnsi="Arial" w:cs="David"/>
          <w:sz w:val="24"/>
          <w:szCs w:val="24"/>
          <w:rtl/>
        </w:rPr>
        <w:t xml:space="preserve">  </w:t>
      </w:r>
      <w:r w:rsidRPr="00D62F0C">
        <w:rPr>
          <w:rFonts w:ascii="Arial" w:eastAsia="Times New Roman" w:hAnsi="Arial" w:cs="David"/>
          <w:b/>
          <w:bCs/>
          <w:sz w:val="24"/>
          <w:szCs w:val="24"/>
          <w:rtl/>
        </w:rPr>
        <w:t>4 הנ"ל אינו אומר דבר בעניין הביטול</w:t>
      </w:r>
      <w:r w:rsidRPr="00D62F0C">
        <w:rPr>
          <w:rFonts w:ascii="Arial" w:eastAsia="Times New Roman" w:hAnsi="Arial" w:cs="David"/>
          <w:b/>
          <w:bCs/>
          <w:sz w:val="24"/>
          <w:szCs w:val="24"/>
          <w:u w:val="single"/>
          <w:rtl/>
        </w:rPr>
        <w:t>.</w:t>
      </w:r>
      <w:r w:rsidRPr="00D62F0C">
        <w:rPr>
          <w:rFonts w:ascii="Arial" w:eastAsia="Times New Roman" w:hAnsi="Arial" w:cs="David"/>
          <w:b/>
          <w:bCs/>
          <w:sz w:val="24"/>
          <w:szCs w:val="24"/>
          <w:rtl/>
        </w:rPr>
        <w:t xml:space="preserve"> בע"א 495/80 [1] הנ"ל הביע השופט ברק את דעתו, כי נותן המתנה איננו רשאי לבטלה רק משום שהחיוב הצמוד לה הופר, ודעתו זו מקובלת עלי. הטעם לכך הוא לדידי כפול, והוא הן מהותי והן פורמאלי. מן הבחינה המהותית, אי-קיומו של החיוב אינו יכול לבטל את המתנה, כי החוזה נשתכלל והמתנה הושלמה על כל מרכיביה. החיוב לא היה משום תנאי, אשר אותו צריך היה לקיים לשם השתכללות עיסקת המתנה. זו נסתיימה מעיקרה עם ההקניה. החיוב הוא מרכיב נוסף הנצמד לחוזה מעת השתכללותו כמעין חוזה נלווה, היינו כמעין סוכת משמר הנבנית ליד הבית. אם החיוב איננו מקוים, חוזה המתנה אינו מופר בכך; חוזה החיוב הוא שמופר. הטעם השני הוא פורמאלי; הוא עולה מן הנוסח של החוק ותואם במלואו את הניתוח המהותי שהובא לעיל."</w:t>
      </w:r>
    </w:p>
    <w:p w:rsidR="00D62F0C" w:rsidRPr="00D62F0C" w:rsidRDefault="00D62F0C" w:rsidP="00D62F0C">
      <w:pPr>
        <w:spacing w:after="0" w:line="360" w:lineRule="auto"/>
        <w:ind w:left="360"/>
        <w:contextualSpacing/>
        <w:jc w:val="both"/>
        <w:rPr>
          <w:rFonts w:ascii="Arial" w:eastAsia="Times New Roman" w:hAnsi="Arial" w:cs="David"/>
          <w:sz w:val="24"/>
          <w:szCs w:val="24"/>
          <w:rtl/>
        </w:rPr>
      </w:pPr>
      <w:r w:rsidRPr="00D62F0C">
        <w:rPr>
          <w:rFonts w:ascii="Arial" w:eastAsia="Times New Roman" w:hAnsi="Arial" w:cs="David"/>
          <w:noProof/>
          <w:sz w:val="24"/>
          <w:szCs w:val="24"/>
          <w:rtl/>
        </w:rPr>
        <w:t xml:space="preserve">לאמור; החיוב עצמו עצמאי ואינו קשור בעסקת המתנה שהושלמה , ומשכך אינו מהווה תמורה בעבורה. הפרת החיוב, משמעותה הפרת חיוב חוזי שאינה מקנה למעניק זכות ביטול.  </w:t>
      </w:r>
    </w:p>
    <w:p w:rsidR="00D62F0C" w:rsidRPr="00D62F0C" w:rsidRDefault="00D62F0C" w:rsidP="00D62F0C">
      <w:pPr>
        <w:spacing w:after="0" w:line="240" w:lineRule="auto"/>
        <w:ind w:left="360"/>
        <w:contextualSpacing/>
        <w:jc w:val="both"/>
        <w:rPr>
          <w:rFonts w:ascii="Arial" w:eastAsia="Times New Roman" w:hAnsi="Arial" w:cs="David"/>
          <w:sz w:val="24"/>
          <w:szCs w:val="24"/>
          <w:rtl/>
        </w:rPr>
      </w:pPr>
    </w:p>
    <w:p w:rsidR="00D62F0C" w:rsidRPr="00D62F0C" w:rsidRDefault="00D62F0C" w:rsidP="006A2A7E">
      <w:pPr>
        <w:spacing w:after="0" w:line="360" w:lineRule="auto"/>
        <w:ind w:left="360"/>
        <w:contextualSpacing/>
        <w:jc w:val="both"/>
        <w:rPr>
          <w:rFonts w:ascii="Arial" w:eastAsia="Times New Roman" w:hAnsi="Arial" w:cs="David"/>
          <w:sz w:val="24"/>
          <w:szCs w:val="24"/>
          <w:rtl/>
        </w:rPr>
      </w:pPr>
      <w:r w:rsidRPr="00D62F0C">
        <w:rPr>
          <w:rFonts w:ascii="David" w:eastAsia="Times New Roman" w:hAnsi="David" w:cs="David"/>
          <w:sz w:val="24"/>
          <w:szCs w:val="24"/>
          <w:u w:val="single"/>
          <w:rtl/>
        </w:rPr>
        <w:t xml:space="preserve">הנימוק השני; </w:t>
      </w:r>
      <w:r w:rsidRPr="00D62F0C">
        <w:rPr>
          <w:rFonts w:ascii="David" w:eastAsia="Times New Roman" w:hAnsi="David" w:cs="David"/>
          <w:sz w:val="24"/>
          <w:szCs w:val="24"/>
          <w:rtl/>
        </w:rPr>
        <w:t xml:space="preserve">עיון בהוראות ההסכם מלמד שלא קיים כל תנאי להשבת הקטינים למגורים בבית הנתבע או עם התובעים, לא בפורש ולא מכללא, ואף לא אגב פרשנות להוראותיו,  </w:t>
      </w:r>
      <w:r w:rsidRPr="00D62F0C">
        <w:rPr>
          <w:rFonts w:ascii="David" w:eastAsia="Calibri" w:hAnsi="David" w:cs="David"/>
          <w:sz w:val="24"/>
          <w:szCs w:val="24"/>
          <w:rtl/>
        </w:rPr>
        <w:t>ו</w:t>
      </w:r>
      <w:r w:rsidRPr="00D62F0C">
        <w:rPr>
          <w:rFonts w:ascii="David" w:eastAsia="Times New Roman" w:hAnsi="David" w:cs="David"/>
          <w:sz w:val="24"/>
          <w:szCs w:val="24"/>
          <w:rtl/>
        </w:rPr>
        <w:t>אין</w:t>
      </w:r>
      <w:r w:rsidRPr="00D62F0C">
        <w:rPr>
          <w:rFonts w:ascii="Arial" w:eastAsia="Times New Roman" w:hAnsi="Arial" w:cs="David"/>
          <w:sz w:val="24"/>
          <w:szCs w:val="24"/>
          <w:rtl/>
        </w:rPr>
        <w:t xml:space="preserve"> להסיק מנסיבות העניין תנאי ברוח זו</w:t>
      </w:r>
      <w:r w:rsidRPr="00D62F0C">
        <w:rPr>
          <w:rFonts w:ascii="David" w:eastAsia="Times New Roman" w:hAnsi="David" w:cs="David"/>
          <w:sz w:val="24"/>
          <w:szCs w:val="24"/>
          <w:rtl/>
        </w:rPr>
        <w:t xml:space="preserve">; לשון ההסכם ברורה ונהירה, ואינה מטילה על מי מהצדדים כל תנאי לקיומו. נהיר, וכך היה מצופה במבחן האדם הסביר, שככל ועמד בבסיסו תנאי כה מהותי מבחינת התובעים, זה היה מוצא את מקומו בהוראותיו. עובדה זו מקבלת משנה תוקף, עת מעדות התובעים וממכתבו של עו"ד </w:t>
      </w:r>
      <w:r w:rsidR="006A2A7E">
        <w:rPr>
          <w:rFonts w:ascii="David" w:eastAsia="Times New Roman" w:hAnsi="David" w:cs="David" w:hint="cs"/>
          <w:sz w:val="24"/>
          <w:szCs w:val="24"/>
          <w:rtl/>
        </w:rPr>
        <w:t xml:space="preserve">*** </w:t>
      </w:r>
      <w:r w:rsidRPr="00D62F0C">
        <w:rPr>
          <w:rFonts w:ascii="David" w:eastAsia="Times New Roman" w:hAnsi="David" w:cs="David"/>
          <w:sz w:val="24"/>
          <w:szCs w:val="24"/>
          <w:rtl/>
        </w:rPr>
        <w:t xml:space="preserve">עולה שעניין הקטינים נידון, ואף שאלת רישום הזכויות נבדקה עובר לכריתתו, והוסברה לתובעים. </w:t>
      </w:r>
      <w:r w:rsidRPr="00D62F0C">
        <w:rPr>
          <w:rFonts w:ascii="Arial" w:eastAsia="Times New Roman" w:hAnsi="Arial" w:cs="David"/>
          <w:sz w:val="24"/>
          <w:szCs w:val="24"/>
          <w:rtl/>
        </w:rPr>
        <w:t xml:space="preserve">בע"א 8704/99 </w:t>
      </w:r>
      <w:r w:rsidRPr="00D62F0C">
        <w:rPr>
          <w:rFonts w:ascii="Arial" w:eastAsia="Times New Roman" w:hAnsi="Arial" w:cs="David"/>
          <w:b/>
          <w:bCs/>
          <w:sz w:val="24"/>
          <w:szCs w:val="24"/>
          <w:rtl/>
        </w:rPr>
        <w:t>אורה בן ציון נ' ההסתדרות הכללית של העובדים</w:t>
      </w:r>
      <w:r w:rsidRPr="00D62F0C">
        <w:rPr>
          <w:rFonts w:ascii="Arial" w:eastAsia="Times New Roman" w:hAnsi="Arial" w:cs="David"/>
          <w:sz w:val="24"/>
          <w:szCs w:val="24"/>
          <w:rtl/>
        </w:rPr>
        <w:t xml:space="preserve">, נח(1) 120 (2003) נקבע לעניין קיומו של תנאי מתנה בהסכם מתנה כי : </w:t>
      </w:r>
      <w:r w:rsidRPr="00D62F0C">
        <w:rPr>
          <w:rFonts w:ascii="Arial" w:eastAsia="Times New Roman" w:hAnsi="Arial" w:cs="David"/>
          <w:b/>
          <w:bCs/>
          <w:sz w:val="24"/>
          <w:szCs w:val="24"/>
          <w:rtl/>
        </w:rPr>
        <w:t>"לא תמיד יהיה קל לקבוע אם הצדדים – ובייחוד הנותן – התכוונו להתנות או לחייב, ועל בית-המשפט יהיה לבדוק את כוונתם של בעלי-הדין כפי שניתן ללמוד עליה מתוך נסיבות העניין; מדברי בעלי-הדין עצמם ומהתנהגותם לפני הענקת המתנה ואחריה ...</w:t>
      </w:r>
      <w:r w:rsidRPr="00D62F0C">
        <w:rPr>
          <w:rFonts w:ascii="Arial" w:eastAsia="Times New Roman" w:hAnsi="Arial" w:cs="David"/>
          <w:sz w:val="24"/>
          <w:szCs w:val="24"/>
          <w:rtl/>
        </w:rPr>
        <w:t xml:space="preserve">". בענייננו, </w:t>
      </w:r>
      <w:r w:rsidRPr="00D62F0C">
        <w:rPr>
          <w:rFonts w:ascii="David" w:eastAsia="Times New Roman" w:hAnsi="David" w:cs="David"/>
          <w:sz w:val="24"/>
          <w:szCs w:val="24"/>
          <w:rtl/>
        </w:rPr>
        <w:t xml:space="preserve">התרשמתי שהתובעים היו מעורבים בהליך כריתת ההסכם ובתנאיו. למשמע עדותם התרשמתי ששני התובעים דעתניים, אשר היו שותפים פעילים בהליך ניהול המו"מ, כמו גם ידעו לקרוא את הוראות ההסכם ואלה אף תורגמו להם לערבית. משכך, חזקה עליהם שהיו </w:t>
      </w:r>
      <w:r w:rsidRPr="00D62F0C">
        <w:rPr>
          <w:rFonts w:ascii="David" w:eastAsia="Times New Roman" w:hAnsi="David" w:cs="David"/>
          <w:sz w:val="24"/>
          <w:szCs w:val="24"/>
          <w:rtl/>
        </w:rPr>
        <w:lastRenderedPageBreak/>
        <w:t>פועלים לשינוי הוראות ההסכם, טרם כריתתו, באם לא כלל הוראה כה מהותית, העומדת בבסיסו. העובדה שלא עשו כן, נוסף על כך שזה קווים במלואו, מלמדת שלא עמד כל תנאי כשזה.</w:t>
      </w:r>
      <w:r w:rsidRPr="00D62F0C">
        <w:rPr>
          <w:rFonts w:ascii="Arial" w:eastAsia="Times New Roman" w:hAnsi="Arial" w:cs="David"/>
          <w:sz w:val="24"/>
          <w:szCs w:val="24"/>
          <w:rtl/>
        </w:rPr>
        <w:t xml:space="preserve"> כמו כן, כמפורט לעיל, גם לאחר שהוברר לתובעים</w:t>
      </w:r>
      <w:r w:rsidRPr="00D62F0C">
        <w:rPr>
          <w:rFonts w:ascii="Arial" w:eastAsia="Times New Roman" w:hAnsi="Arial" w:cs="David"/>
          <w:sz w:val="24"/>
          <w:szCs w:val="24"/>
        </w:rPr>
        <w:t xml:space="preserve"> </w:t>
      </w:r>
      <w:r w:rsidRPr="00D62F0C">
        <w:rPr>
          <w:rFonts w:ascii="Arial" w:eastAsia="Times New Roman" w:hAnsi="Arial" w:cs="David"/>
          <w:sz w:val="24"/>
          <w:szCs w:val="24"/>
          <w:rtl/>
        </w:rPr>
        <w:t xml:space="preserve"> שתנאי זה לא מצא את מקומו בהסכם, המשיכו וקיימו את ההסכם.</w:t>
      </w:r>
    </w:p>
    <w:p w:rsidR="00D62F0C" w:rsidRPr="00D62F0C" w:rsidRDefault="00D62F0C" w:rsidP="00D62F0C">
      <w:pPr>
        <w:spacing w:after="0" w:line="240" w:lineRule="auto"/>
        <w:ind w:left="360"/>
        <w:contextualSpacing/>
        <w:jc w:val="both"/>
        <w:rPr>
          <w:rFonts w:ascii="Arial" w:eastAsia="Times New Roman" w:hAnsi="Arial" w:cs="David"/>
          <w:sz w:val="24"/>
          <w:szCs w:val="24"/>
          <w:rtl/>
        </w:rPr>
      </w:pPr>
    </w:p>
    <w:p w:rsidR="00D62F0C" w:rsidRDefault="00D62F0C" w:rsidP="00D62F0C">
      <w:pPr>
        <w:numPr>
          <w:ilvl w:val="0"/>
          <w:numId w:val="1"/>
        </w:numPr>
        <w:spacing w:after="0" w:line="360" w:lineRule="auto"/>
        <w:contextualSpacing/>
        <w:jc w:val="both"/>
        <w:rPr>
          <w:rFonts w:ascii="David" w:eastAsia="Calibri" w:hAnsi="David" w:cs="David"/>
          <w:sz w:val="24"/>
          <w:szCs w:val="24"/>
        </w:rPr>
      </w:pPr>
      <w:r w:rsidRPr="00D62F0C">
        <w:rPr>
          <w:rFonts w:ascii="David" w:eastAsia="Calibri" w:hAnsi="David" w:cs="David"/>
          <w:sz w:val="24"/>
          <w:szCs w:val="24"/>
          <w:rtl/>
        </w:rPr>
        <w:t>גם את טענת התובעים בדבר</w:t>
      </w:r>
      <w:r w:rsidRPr="00D62F0C">
        <w:rPr>
          <w:rFonts w:ascii="David" w:eastAsia="Calibri" w:hAnsi="David" w:cs="David"/>
          <w:sz w:val="24"/>
          <w:szCs w:val="24"/>
          <w:u w:val="single"/>
          <w:rtl/>
        </w:rPr>
        <w:t xml:space="preserve"> זיוף חתימתם על ההסכם, </w:t>
      </w:r>
      <w:r w:rsidRPr="00D62F0C">
        <w:rPr>
          <w:rFonts w:ascii="David" w:eastAsia="Calibri" w:hAnsi="David" w:cs="David"/>
          <w:sz w:val="24"/>
          <w:szCs w:val="24"/>
          <w:rtl/>
        </w:rPr>
        <w:t xml:space="preserve">מצאתי לדחות; ראשית, טענה זו גם היא מצאה את מקומה רק בכתב התביעה השלישי, אף שמדובר בטענה מהותית. יתר על כן, בסיכומיהם, זנחו התובעים טענתם, ודי בכך בכדי לדחותה. גם לגופה, דינה דחייה, שכן התובע בעצמו אישר בעדותו שחתם על ההסכם והוא אינו מכחיש זאת, ברם טען שלא יודע מה היה כתוב בהסכם (ראה </w:t>
      </w:r>
      <w:r w:rsidRPr="00D62F0C">
        <w:rPr>
          <w:rFonts w:ascii="David" w:eastAsia="Times New Roman" w:hAnsi="David" w:cs="David"/>
          <w:sz w:val="24"/>
          <w:szCs w:val="24"/>
          <w:rtl/>
        </w:rPr>
        <w:t>עדות</w:t>
      </w:r>
      <w:r w:rsidRPr="00D62F0C">
        <w:rPr>
          <w:rFonts w:ascii="David" w:eastAsia="Calibri" w:hAnsi="David" w:cs="David"/>
          <w:sz w:val="24"/>
          <w:szCs w:val="24"/>
          <w:rtl/>
        </w:rPr>
        <w:t xml:space="preserve">ו </w:t>
      </w:r>
      <w:r w:rsidRPr="00D62F0C">
        <w:rPr>
          <w:rFonts w:ascii="David" w:eastAsia="Times New Roman" w:hAnsi="David" w:cs="David"/>
          <w:sz w:val="24"/>
          <w:szCs w:val="24"/>
          <w:rtl/>
        </w:rPr>
        <w:t>בעמ' 22 שו' 10-16</w:t>
      </w:r>
      <w:r w:rsidRPr="00D62F0C">
        <w:rPr>
          <w:rFonts w:ascii="David" w:eastAsia="Calibri" w:hAnsi="David" w:cs="David"/>
          <w:sz w:val="24"/>
          <w:szCs w:val="24"/>
          <w:rtl/>
        </w:rPr>
        <w:t xml:space="preserve">). </w:t>
      </w:r>
    </w:p>
    <w:p w:rsidR="006A2A7E" w:rsidRPr="00D62F0C" w:rsidRDefault="006A2A7E" w:rsidP="006A2A7E">
      <w:pPr>
        <w:spacing w:after="0" w:line="360" w:lineRule="auto"/>
        <w:ind w:left="360"/>
        <w:contextualSpacing/>
        <w:jc w:val="both"/>
        <w:rPr>
          <w:rFonts w:ascii="David" w:eastAsia="Calibri" w:hAnsi="David" w:cs="David"/>
          <w:sz w:val="24"/>
          <w:szCs w:val="24"/>
          <w:rtl/>
        </w:rPr>
      </w:pPr>
    </w:p>
    <w:p w:rsidR="00D62F0C" w:rsidRPr="00D62F0C" w:rsidRDefault="00D62F0C" w:rsidP="00D62F0C">
      <w:pPr>
        <w:numPr>
          <w:ilvl w:val="0"/>
          <w:numId w:val="1"/>
        </w:numPr>
        <w:spacing w:after="0" w:line="360" w:lineRule="auto"/>
        <w:contextualSpacing/>
        <w:jc w:val="both"/>
        <w:rPr>
          <w:rFonts w:ascii="Arial" w:eastAsia="Times New Roman" w:hAnsi="Arial" w:cs="David"/>
          <w:sz w:val="24"/>
          <w:szCs w:val="24"/>
          <w:rtl/>
        </w:rPr>
      </w:pPr>
      <w:r w:rsidRPr="00D62F0C">
        <w:rPr>
          <w:rFonts w:ascii="Arial" w:eastAsia="Times New Roman" w:hAnsi="Arial" w:cs="David"/>
          <w:sz w:val="24"/>
          <w:szCs w:val="24"/>
          <w:rtl/>
        </w:rPr>
        <w:t xml:space="preserve">עוד מצאתי לדחות את טענת התובעים ולפיה </w:t>
      </w:r>
      <w:r w:rsidRPr="00D62F0C">
        <w:rPr>
          <w:rFonts w:ascii="Arial" w:eastAsia="Times New Roman" w:hAnsi="Arial" w:cs="David"/>
          <w:sz w:val="24"/>
          <w:szCs w:val="24"/>
          <w:u w:val="single"/>
          <w:rtl/>
        </w:rPr>
        <w:t>נוכח טעות בהסכם בהגדרת הנכס יש להורות על ביטולו</w:t>
      </w:r>
      <w:r w:rsidRPr="00D62F0C">
        <w:rPr>
          <w:rFonts w:ascii="Arial" w:eastAsia="Times New Roman" w:hAnsi="Arial" w:cs="David"/>
          <w:sz w:val="24"/>
          <w:szCs w:val="24"/>
          <w:rtl/>
        </w:rPr>
        <w:t>.  כזכור, בהסכם  נקבע ב"הואיל" הראשון כדלקמן:</w:t>
      </w:r>
    </w:p>
    <w:p w:rsidR="00D62F0C" w:rsidRPr="00D62F0C" w:rsidRDefault="00D62F0C" w:rsidP="006A2A7E">
      <w:pPr>
        <w:spacing w:after="0" w:line="360" w:lineRule="auto"/>
        <w:ind w:left="360"/>
        <w:contextualSpacing/>
        <w:jc w:val="both"/>
        <w:rPr>
          <w:rFonts w:ascii="Arial" w:eastAsia="Times New Roman" w:hAnsi="Arial" w:cs="David"/>
          <w:b/>
          <w:bCs/>
          <w:sz w:val="24"/>
          <w:szCs w:val="24"/>
        </w:rPr>
      </w:pPr>
      <w:r w:rsidRPr="00D62F0C">
        <w:rPr>
          <w:rFonts w:ascii="Arial" w:eastAsia="Times New Roman" w:hAnsi="Arial" w:cs="David"/>
          <w:b/>
          <w:bCs/>
          <w:sz w:val="24"/>
          <w:szCs w:val="24"/>
          <w:rtl/>
        </w:rPr>
        <w:t xml:space="preserve">" והנותנים הנם הבעלים הרשומים של שטח של כ- 500 מ"ר בחלקה מספר 111 בגוש </w:t>
      </w:r>
      <w:r w:rsidR="006A2A7E">
        <w:rPr>
          <w:rFonts w:ascii="Arial" w:eastAsia="Times New Roman" w:hAnsi="Arial" w:cs="David" w:hint="cs"/>
          <w:b/>
          <w:bCs/>
          <w:sz w:val="24"/>
          <w:szCs w:val="24"/>
          <w:rtl/>
        </w:rPr>
        <w:t xml:space="preserve">*** </w:t>
      </w:r>
      <w:r w:rsidRPr="00D62F0C">
        <w:rPr>
          <w:rFonts w:ascii="Arial" w:eastAsia="Times New Roman" w:hAnsi="Arial" w:cs="David"/>
          <w:b/>
          <w:bCs/>
          <w:sz w:val="24"/>
          <w:szCs w:val="24"/>
          <w:rtl/>
        </w:rPr>
        <w:t xml:space="preserve">מחלקות </w:t>
      </w:r>
      <w:r w:rsidR="006A2A7E">
        <w:rPr>
          <w:rFonts w:ascii="Arial" w:eastAsia="Times New Roman" w:hAnsi="Arial" w:cs="David" w:hint="cs"/>
          <w:b/>
          <w:bCs/>
          <w:sz w:val="24"/>
          <w:szCs w:val="24"/>
          <w:rtl/>
        </w:rPr>
        <w:t xml:space="preserve">*** </w:t>
      </w:r>
      <w:r w:rsidRPr="00D62F0C">
        <w:rPr>
          <w:rFonts w:ascii="Arial" w:eastAsia="Times New Roman" w:hAnsi="Arial" w:cs="David"/>
          <w:b/>
          <w:bCs/>
          <w:sz w:val="24"/>
          <w:szCs w:val="24"/>
          <w:rtl/>
        </w:rPr>
        <w:t xml:space="preserve">והבנויה עליה דירת מגורים בת שתי קומות בשטח של כ 111 מ"ר כ"א המורכבת מ 3 חדרים, מטבח הול, 2 מרפסות ושירותים וברצון הנותנים להעניק את הדירה הנ"ל בנוסף לשטח אדמה של 30 מ"ר מהחלקה הנ"ל למקבלים. (הדירה יחד עם השטח של 30 מ"ר יקראו להלן: "הנכס").  </w:t>
      </w:r>
      <w:r w:rsidRPr="00D62F0C">
        <w:rPr>
          <w:rFonts w:ascii="Arial" w:eastAsia="Times New Roman" w:hAnsi="Arial" w:cs="David"/>
          <w:sz w:val="24"/>
          <w:szCs w:val="24"/>
          <w:rtl/>
        </w:rPr>
        <w:t>למקרא הוראות ההסכם אל מול העובדות עליהן אינם חלוקים הצדדים, עולה שאכן קיימת אי התאמה בין תיאור הנכס בהסכם אל מול המצב בפועל;  כמפורט ברישא לפס"ד, במגרש קיימים 2 בניינים, הבניין הראשון נשוא המחלוקת הכולל 2 דירות בנות קומה כל אחת, והבניין השני הכולל 4 דירות. אין מחלוקת שהנכס בו מתגוררים הנתבעים, ובו התגוררו התובעים עובר לכך, כולל קומה אחת. חרף זאת, הוראות ההסכם, מנוסחות באופן בלתי נהיר, ודומה שאגב טעות, כך שתחילה צויין שהבניין כולל דירת מגורים אחת בת שתי קומות, בהמשך המשפט צויין "כ"א", קרי שהבניין מונה יותר מדירה אחת.  כן, מצאתי לדחות את טענת הנתבעים ולפיה הפרשנות הצריכה הינה שהתובעים העניקו להם את הזכויות בשני הנכסים, וזאת משני נימוקים עיקריים:</w:t>
      </w:r>
    </w:p>
    <w:p w:rsidR="00D62F0C" w:rsidRPr="00D62F0C" w:rsidRDefault="00D62F0C" w:rsidP="00D62F0C">
      <w:pPr>
        <w:spacing w:after="0" w:line="240" w:lineRule="auto"/>
        <w:ind w:left="360"/>
        <w:contextualSpacing/>
        <w:jc w:val="both"/>
        <w:rPr>
          <w:rFonts w:ascii="Arial" w:eastAsia="Times New Roman" w:hAnsi="Arial" w:cs="David"/>
          <w:b/>
          <w:bCs/>
          <w:sz w:val="24"/>
          <w:szCs w:val="24"/>
          <w:rtl/>
        </w:rPr>
      </w:pPr>
    </w:p>
    <w:p w:rsidR="00D62F0C" w:rsidRPr="00D62F0C" w:rsidRDefault="00D62F0C" w:rsidP="00D62F0C">
      <w:pPr>
        <w:spacing w:after="0" w:line="360" w:lineRule="auto"/>
        <w:ind w:left="360"/>
        <w:contextualSpacing/>
        <w:jc w:val="both"/>
        <w:rPr>
          <w:rFonts w:ascii="Arial" w:eastAsia="Times New Roman" w:hAnsi="Arial" w:cs="David"/>
          <w:sz w:val="24"/>
          <w:szCs w:val="24"/>
        </w:rPr>
      </w:pPr>
      <w:r w:rsidRPr="00D62F0C">
        <w:rPr>
          <w:rFonts w:ascii="Arial" w:eastAsia="Times New Roman" w:hAnsi="Arial" w:cs="David"/>
          <w:sz w:val="24"/>
          <w:szCs w:val="24"/>
          <w:u w:val="single"/>
          <w:rtl/>
        </w:rPr>
        <w:t>הראשון-</w:t>
      </w:r>
      <w:r w:rsidRPr="00D62F0C">
        <w:rPr>
          <w:rFonts w:ascii="Arial" w:eastAsia="Times New Roman" w:hAnsi="Arial" w:cs="David"/>
          <w:sz w:val="24"/>
          <w:szCs w:val="24"/>
          <w:rtl/>
        </w:rPr>
        <w:t xml:space="preserve"> לשון ההסכם כפי שהיא, נפקותה שהתובעים מעניקים לנתבעים 2 נכסים בעלי 2 קומות כל אחד, בשטח כולל של 111 מ"ר כל דירה. ואולם, הנכסים אינם בעלי 2 קומות, ומכאן נהיר שהמדובר בטעות.</w:t>
      </w:r>
    </w:p>
    <w:p w:rsidR="00D62F0C" w:rsidRPr="00D62F0C" w:rsidRDefault="00D62F0C" w:rsidP="00D62F0C">
      <w:pPr>
        <w:spacing w:after="0" w:line="240" w:lineRule="auto"/>
        <w:ind w:left="360"/>
        <w:contextualSpacing/>
        <w:jc w:val="both"/>
        <w:rPr>
          <w:rFonts w:ascii="Arial" w:eastAsia="Times New Roman" w:hAnsi="Arial" w:cs="David"/>
          <w:sz w:val="24"/>
          <w:szCs w:val="24"/>
          <w:rtl/>
        </w:rPr>
      </w:pPr>
    </w:p>
    <w:p w:rsidR="00D62F0C" w:rsidRPr="00D62F0C" w:rsidRDefault="00D62F0C" w:rsidP="00D62F0C">
      <w:pPr>
        <w:spacing w:after="0" w:line="360" w:lineRule="auto"/>
        <w:ind w:left="360"/>
        <w:contextualSpacing/>
        <w:jc w:val="both"/>
        <w:rPr>
          <w:rFonts w:ascii="Arial" w:eastAsia="Times New Roman" w:hAnsi="Arial" w:cs="David"/>
          <w:sz w:val="24"/>
          <w:szCs w:val="24"/>
          <w:rtl/>
        </w:rPr>
      </w:pPr>
      <w:r w:rsidRPr="00D62F0C">
        <w:rPr>
          <w:rFonts w:ascii="Arial" w:eastAsia="Times New Roman" w:hAnsi="Arial" w:cs="David"/>
          <w:sz w:val="24"/>
          <w:szCs w:val="24"/>
          <w:u w:val="single"/>
          <w:rtl/>
        </w:rPr>
        <w:t>השני</w:t>
      </w:r>
      <w:r w:rsidRPr="00D62F0C">
        <w:rPr>
          <w:rFonts w:ascii="Arial" w:eastAsia="Times New Roman" w:hAnsi="Arial" w:cs="David"/>
          <w:sz w:val="24"/>
          <w:szCs w:val="24"/>
          <w:rtl/>
        </w:rPr>
        <w:t xml:space="preserve"> - כאשר נשאל הנתבע בחקירתו לעניין הנכס נשוא העסקה, מסר 3 גרסאות שונות; הראשונה, שהתובעת התחייבה לפני הנתבעת שיחליפו דירות. השנייה, שהתובעת התחייבה להעניק לו את הזכויות בשני הנכסים. והשלישית, שהתובעת התחייבה להעניק לנתבעים את הנכס בקומת קרקע ולקטינים את הנכס בקומה הראשונה. וכך הצהיר (ראה עמוד 29 שורות 35-36;עמוד 30 שורות 1-10, 21-26 ) :</w:t>
      </w:r>
    </w:p>
    <w:p w:rsidR="00D62F0C" w:rsidRPr="00D62F0C" w:rsidRDefault="00D62F0C" w:rsidP="00D62F0C">
      <w:pPr>
        <w:spacing w:after="0" w:line="360" w:lineRule="auto"/>
        <w:ind w:left="720"/>
        <w:jc w:val="both"/>
        <w:rPr>
          <w:rFonts w:ascii="FrankRuehl" w:eastAsia="Times New Roman" w:hAnsi="FrankRuehl" w:cs="FrankRuehl"/>
          <w:b/>
          <w:bCs/>
          <w:sz w:val="24"/>
          <w:szCs w:val="24"/>
          <w:rtl/>
        </w:rPr>
      </w:pPr>
      <w:r w:rsidRPr="00D62F0C">
        <w:rPr>
          <w:rFonts w:ascii="FrankRuehl" w:eastAsia="Times New Roman" w:hAnsi="FrankRuehl" w:cs="FrankRuehl"/>
          <w:b/>
          <w:bCs/>
          <w:noProof/>
          <w:sz w:val="24"/>
          <w:szCs w:val="24"/>
          <w:rtl/>
        </w:rPr>
        <w:lastRenderedPageBreak/>
        <w:t>"ש.</w:t>
      </w:r>
      <w:r w:rsidRPr="00D62F0C">
        <w:rPr>
          <w:rFonts w:ascii="FrankRuehl" w:eastAsia="Times New Roman" w:hAnsi="FrankRuehl" w:cs="FrankRuehl"/>
          <w:b/>
          <w:bCs/>
          <w:noProof/>
          <w:sz w:val="24"/>
          <w:szCs w:val="24"/>
          <w:rtl/>
        </w:rPr>
        <w:tab/>
        <w:t xml:space="preserve">הסכם המתנה של מי היה הרעיון? </w:t>
      </w:r>
    </w:p>
    <w:p w:rsidR="00D62F0C" w:rsidRPr="00D62F0C" w:rsidRDefault="00D62F0C" w:rsidP="00D62F0C">
      <w:pPr>
        <w:spacing w:after="0" w:line="360" w:lineRule="auto"/>
        <w:ind w:left="1440" w:hanging="720"/>
        <w:jc w:val="both"/>
        <w:rPr>
          <w:rFonts w:ascii="FrankRuehl" w:eastAsia="Times New Roman" w:hAnsi="FrankRuehl" w:cs="FrankRuehl"/>
          <w:noProof/>
          <w:sz w:val="24"/>
          <w:szCs w:val="24"/>
        </w:rPr>
      </w:pPr>
      <w:r w:rsidRPr="00D62F0C">
        <w:rPr>
          <w:rFonts w:ascii="FrankRuehl" w:eastAsia="Times New Roman" w:hAnsi="FrankRuehl" w:cs="FrankRuehl"/>
          <w:noProof/>
          <w:sz w:val="24"/>
          <w:szCs w:val="24"/>
          <w:rtl/>
        </w:rPr>
        <w:t>ת.</w:t>
      </w:r>
      <w:r w:rsidRPr="00D62F0C">
        <w:rPr>
          <w:rFonts w:ascii="FrankRuehl" w:eastAsia="Times New Roman" w:hAnsi="FrankRuehl" w:cs="FrankRuehl"/>
          <w:noProof/>
          <w:sz w:val="24"/>
          <w:szCs w:val="24"/>
          <w:rtl/>
        </w:rPr>
        <w:tab/>
        <w:t xml:space="preserve">זו היתה התחייבות של אימא שלי לאשתי. היא התחייבה בפניה שאנחנו נעבור לגור בבית יותר מרווח. </w:t>
      </w:r>
    </w:p>
    <w:p w:rsidR="00D62F0C" w:rsidRPr="00D62F0C" w:rsidRDefault="00D62F0C" w:rsidP="00D62F0C">
      <w:pPr>
        <w:spacing w:after="0" w:line="360" w:lineRule="auto"/>
        <w:ind w:left="720"/>
        <w:jc w:val="both"/>
        <w:rPr>
          <w:rFonts w:ascii="FrankRuehl" w:eastAsia="Times New Roman" w:hAnsi="FrankRuehl" w:cs="FrankRuehl"/>
          <w:b/>
          <w:bCs/>
          <w:noProof/>
          <w:sz w:val="24"/>
          <w:szCs w:val="24"/>
          <w:rtl/>
        </w:rPr>
      </w:pPr>
      <w:r w:rsidRPr="00D62F0C">
        <w:rPr>
          <w:rFonts w:ascii="FrankRuehl" w:eastAsia="Times New Roman" w:hAnsi="FrankRuehl" w:cs="FrankRuehl"/>
          <w:b/>
          <w:bCs/>
          <w:noProof/>
          <w:sz w:val="24"/>
          <w:szCs w:val="24"/>
          <w:rtl/>
        </w:rPr>
        <w:t>ש.</w:t>
      </w:r>
      <w:r w:rsidRPr="00D62F0C">
        <w:rPr>
          <w:rFonts w:ascii="FrankRuehl" w:eastAsia="Times New Roman" w:hAnsi="FrankRuehl" w:cs="FrankRuehl"/>
          <w:b/>
          <w:bCs/>
          <w:noProof/>
          <w:sz w:val="24"/>
          <w:szCs w:val="24"/>
          <w:rtl/>
        </w:rPr>
        <w:tab/>
        <w:t xml:space="preserve">איזה בית? מה שאתם גרים בו עכשיו? </w:t>
      </w:r>
    </w:p>
    <w:p w:rsidR="00D62F0C" w:rsidRPr="00D62F0C" w:rsidRDefault="00D62F0C" w:rsidP="00D62F0C">
      <w:pPr>
        <w:spacing w:after="0" w:line="360" w:lineRule="auto"/>
        <w:ind w:left="720"/>
        <w:jc w:val="both"/>
        <w:rPr>
          <w:rFonts w:ascii="FrankRuehl" w:eastAsia="Times New Roman" w:hAnsi="FrankRuehl" w:cs="FrankRuehl"/>
          <w:noProof/>
          <w:sz w:val="24"/>
          <w:szCs w:val="24"/>
          <w:rtl/>
        </w:rPr>
      </w:pPr>
      <w:r w:rsidRPr="00D62F0C">
        <w:rPr>
          <w:rFonts w:ascii="FrankRuehl" w:eastAsia="Times New Roman" w:hAnsi="FrankRuehl" w:cs="FrankRuehl"/>
          <w:noProof/>
          <w:sz w:val="24"/>
          <w:szCs w:val="24"/>
          <w:rtl/>
        </w:rPr>
        <w:t>ת.</w:t>
      </w:r>
      <w:r w:rsidRPr="00D62F0C">
        <w:rPr>
          <w:rFonts w:ascii="FrankRuehl" w:eastAsia="Times New Roman" w:hAnsi="FrankRuehl" w:cs="FrankRuehl"/>
          <w:noProof/>
          <w:sz w:val="24"/>
          <w:szCs w:val="24"/>
          <w:rtl/>
        </w:rPr>
        <w:tab/>
        <w:t xml:space="preserve">כן. </w:t>
      </w:r>
    </w:p>
    <w:p w:rsidR="00D62F0C" w:rsidRPr="00D62F0C" w:rsidRDefault="00D62F0C" w:rsidP="00D62F0C">
      <w:pPr>
        <w:spacing w:after="0" w:line="360" w:lineRule="auto"/>
        <w:ind w:left="720"/>
        <w:jc w:val="both"/>
        <w:rPr>
          <w:rFonts w:ascii="FrankRuehl" w:eastAsia="Times New Roman" w:hAnsi="FrankRuehl" w:cs="FrankRuehl"/>
          <w:b/>
          <w:bCs/>
          <w:noProof/>
          <w:sz w:val="24"/>
          <w:szCs w:val="24"/>
          <w:rtl/>
        </w:rPr>
      </w:pPr>
      <w:r w:rsidRPr="00D62F0C">
        <w:rPr>
          <w:rFonts w:ascii="FrankRuehl" w:eastAsia="Times New Roman" w:hAnsi="FrankRuehl" w:cs="FrankRuehl"/>
          <w:b/>
          <w:bCs/>
          <w:noProof/>
          <w:sz w:val="24"/>
          <w:szCs w:val="24"/>
          <w:rtl/>
        </w:rPr>
        <w:t>ש.</w:t>
      </w:r>
      <w:r w:rsidRPr="00D62F0C">
        <w:rPr>
          <w:rFonts w:ascii="FrankRuehl" w:eastAsia="Times New Roman" w:hAnsi="FrankRuehl" w:cs="FrankRuehl"/>
          <w:b/>
          <w:bCs/>
          <w:noProof/>
          <w:sz w:val="24"/>
          <w:szCs w:val="24"/>
          <w:rtl/>
        </w:rPr>
        <w:tab/>
        <w:t xml:space="preserve">ועל זה היה הסכם מתנה? לעבור לדירה הזאת? </w:t>
      </w:r>
    </w:p>
    <w:p w:rsidR="00D62F0C" w:rsidRPr="00D62F0C" w:rsidRDefault="00D62F0C" w:rsidP="00D62F0C">
      <w:pPr>
        <w:spacing w:after="0" w:line="360" w:lineRule="auto"/>
        <w:ind w:left="720"/>
        <w:jc w:val="both"/>
        <w:rPr>
          <w:rFonts w:ascii="FrankRuehl" w:eastAsia="Times New Roman" w:hAnsi="FrankRuehl" w:cs="FrankRuehl"/>
          <w:noProof/>
          <w:sz w:val="24"/>
          <w:szCs w:val="24"/>
          <w:rtl/>
        </w:rPr>
      </w:pPr>
      <w:r w:rsidRPr="00D62F0C">
        <w:rPr>
          <w:rFonts w:ascii="FrankRuehl" w:eastAsia="Times New Roman" w:hAnsi="FrankRuehl" w:cs="FrankRuehl"/>
          <w:noProof/>
          <w:sz w:val="24"/>
          <w:szCs w:val="24"/>
          <w:rtl/>
        </w:rPr>
        <w:t>ת.</w:t>
      </w:r>
      <w:r w:rsidRPr="00D62F0C">
        <w:rPr>
          <w:rFonts w:ascii="FrankRuehl" w:eastAsia="Times New Roman" w:hAnsi="FrankRuehl" w:cs="FrankRuehl"/>
          <w:noProof/>
          <w:sz w:val="24"/>
          <w:szCs w:val="24"/>
          <w:rtl/>
        </w:rPr>
        <w:tab/>
        <w:t xml:space="preserve">הבית. </w:t>
      </w:r>
    </w:p>
    <w:p w:rsidR="00D62F0C" w:rsidRPr="00D62F0C" w:rsidRDefault="00D62F0C" w:rsidP="00D62F0C">
      <w:pPr>
        <w:spacing w:after="0" w:line="360" w:lineRule="auto"/>
        <w:ind w:left="720"/>
        <w:jc w:val="both"/>
        <w:rPr>
          <w:rFonts w:ascii="FrankRuehl" w:eastAsia="Times New Roman" w:hAnsi="FrankRuehl" w:cs="FrankRuehl"/>
          <w:b/>
          <w:bCs/>
          <w:noProof/>
          <w:sz w:val="24"/>
          <w:szCs w:val="24"/>
          <w:rtl/>
        </w:rPr>
      </w:pPr>
      <w:r w:rsidRPr="00D62F0C">
        <w:rPr>
          <w:rFonts w:ascii="FrankRuehl" w:eastAsia="Times New Roman" w:hAnsi="FrankRuehl" w:cs="FrankRuehl"/>
          <w:b/>
          <w:bCs/>
          <w:noProof/>
          <w:sz w:val="24"/>
          <w:szCs w:val="24"/>
          <w:rtl/>
        </w:rPr>
        <w:t>ש.</w:t>
      </w:r>
      <w:r w:rsidRPr="00D62F0C">
        <w:rPr>
          <w:rFonts w:ascii="FrankRuehl" w:eastAsia="Times New Roman" w:hAnsi="FrankRuehl" w:cs="FrankRuehl"/>
          <w:b/>
          <w:bCs/>
          <w:noProof/>
          <w:sz w:val="24"/>
          <w:szCs w:val="24"/>
          <w:rtl/>
        </w:rPr>
        <w:tab/>
        <w:t xml:space="preserve">אתם עוברים לכל הבית? </w:t>
      </w:r>
    </w:p>
    <w:p w:rsidR="00D62F0C" w:rsidRPr="00D62F0C" w:rsidRDefault="00D62F0C" w:rsidP="00D62F0C">
      <w:pPr>
        <w:spacing w:after="0" w:line="360" w:lineRule="auto"/>
        <w:ind w:left="720"/>
        <w:jc w:val="both"/>
        <w:rPr>
          <w:rFonts w:ascii="FrankRuehl" w:eastAsia="Times New Roman" w:hAnsi="FrankRuehl" w:cs="FrankRuehl"/>
          <w:noProof/>
          <w:sz w:val="24"/>
          <w:szCs w:val="24"/>
          <w:rtl/>
        </w:rPr>
      </w:pPr>
      <w:r w:rsidRPr="00D62F0C">
        <w:rPr>
          <w:rFonts w:ascii="FrankRuehl" w:eastAsia="Times New Roman" w:hAnsi="FrankRuehl" w:cs="FrankRuehl"/>
          <w:noProof/>
          <w:sz w:val="24"/>
          <w:szCs w:val="24"/>
          <w:rtl/>
        </w:rPr>
        <w:t>ת.</w:t>
      </w:r>
      <w:r w:rsidRPr="00D62F0C">
        <w:rPr>
          <w:rFonts w:ascii="FrankRuehl" w:eastAsia="Times New Roman" w:hAnsi="FrankRuehl" w:cs="FrankRuehl"/>
          <w:noProof/>
          <w:sz w:val="24"/>
          <w:szCs w:val="24"/>
          <w:rtl/>
        </w:rPr>
        <w:tab/>
        <w:t xml:space="preserve">זה אותו גודל. </w:t>
      </w:r>
    </w:p>
    <w:p w:rsidR="00D62F0C" w:rsidRPr="00D62F0C" w:rsidRDefault="00D62F0C" w:rsidP="00D62F0C">
      <w:pPr>
        <w:spacing w:after="0" w:line="360" w:lineRule="auto"/>
        <w:ind w:left="720"/>
        <w:jc w:val="both"/>
        <w:rPr>
          <w:rFonts w:ascii="FrankRuehl" w:eastAsia="Times New Roman" w:hAnsi="FrankRuehl" w:cs="FrankRuehl"/>
          <w:b/>
          <w:bCs/>
          <w:noProof/>
          <w:sz w:val="24"/>
          <w:szCs w:val="24"/>
          <w:rtl/>
        </w:rPr>
      </w:pPr>
      <w:r w:rsidRPr="00D62F0C">
        <w:rPr>
          <w:rFonts w:ascii="FrankRuehl" w:eastAsia="Times New Roman" w:hAnsi="FrankRuehl" w:cs="FrankRuehl"/>
          <w:b/>
          <w:bCs/>
          <w:noProof/>
          <w:sz w:val="24"/>
          <w:szCs w:val="24"/>
          <w:rtl/>
        </w:rPr>
        <w:t>ש.</w:t>
      </w:r>
      <w:r w:rsidRPr="00D62F0C">
        <w:rPr>
          <w:rFonts w:ascii="FrankRuehl" w:eastAsia="Times New Roman" w:hAnsi="FrankRuehl" w:cs="FrankRuehl"/>
          <w:b/>
          <w:bCs/>
          <w:noProof/>
          <w:sz w:val="24"/>
          <w:szCs w:val="24"/>
          <w:rtl/>
        </w:rPr>
        <w:tab/>
        <w:t xml:space="preserve">איפה אתה גר? </w:t>
      </w:r>
    </w:p>
    <w:p w:rsidR="00D62F0C" w:rsidRPr="00D62F0C" w:rsidRDefault="00D62F0C" w:rsidP="00D62F0C">
      <w:pPr>
        <w:spacing w:after="0" w:line="360" w:lineRule="auto"/>
        <w:ind w:left="720"/>
        <w:jc w:val="both"/>
        <w:rPr>
          <w:rFonts w:ascii="FrankRuehl" w:eastAsia="Times New Roman" w:hAnsi="FrankRuehl" w:cs="FrankRuehl"/>
          <w:noProof/>
          <w:sz w:val="24"/>
          <w:szCs w:val="24"/>
          <w:rtl/>
        </w:rPr>
      </w:pPr>
      <w:r w:rsidRPr="00D62F0C">
        <w:rPr>
          <w:rFonts w:ascii="FrankRuehl" w:eastAsia="Times New Roman" w:hAnsi="FrankRuehl" w:cs="FrankRuehl"/>
          <w:noProof/>
          <w:sz w:val="24"/>
          <w:szCs w:val="24"/>
          <w:rtl/>
        </w:rPr>
        <w:t>ת.</w:t>
      </w:r>
      <w:r w:rsidRPr="00D62F0C">
        <w:rPr>
          <w:rFonts w:ascii="FrankRuehl" w:eastAsia="Times New Roman" w:hAnsi="FrankRuehl" w:cs="FrankRuehl"/>
          <w:noProof/>
          <w:sz w:val="24"/>
          <w:szCs w:val="24"/>
          <w:rtl/>
        </w:rPr>
        <w:tab/>
        <w:t xml:space="preserve">בקומת קרקע. </w:t>
      </w:r>
    </w:p>
    <w:p w:rsidR="00D62F0C" w:rsidRPr="00D62F0C" w:rsidRDefault="00D62F0C" w:rsidP="00D62F0C">
      <w:pPr>
        <w:spacing w:after="0" w:line="360" w:lineRule="auto"/>
        <w:ind w:left="720"/>
        <w:jc w:val="both"/>
        <w:rPr>
          <w:rFonts w:ascii="FrankRuehl" w:eastAsia="Times New Roman" w:hAnsi="FrankRuehl" w:cs="FrankRuehl"/>
          <w:b/>
          <w:bCs/>
          <w:noProof/>
          <w:sz w:val="24"/>
          <w:szCs w:val="24"/>
        </w:rPr>
      </w:pPr>
      <w:r w:rsidRPr="00D62F0C">
        <w:rPr>
          <w:rFonts w:ascii="FrankRuehl" w:eastAsia="Times New Roman" w:hAnsi="FrankRuehl" w:cs="FrankRuehl"/>
          <w:b/>
          <w:bCs/>
          <w:noProof/>
          <w:sz w:val="24"/>
          <w:szCs w:val="24"/>
          <w:rtl/>
        </w:rPr>
        <w:t>ש.</w:t>
      </w:r>
      <w:r w:rsidRPr="00D62F0C">
        <w:rPr>
          <w:rFonts w:ascii="FrankRuehl" w:eastAsia="Times New Roman" w:hAnsi="FrankRuehl" w:cs="FrankRuehl"/>
          <w:b/>
          <w:bCs/>
          <w:noProof/>
          <w:sz w:val="24"/>
          <w:szCs w:val="24"/>
          <w:rtl/>
        </w:rPr>
        <w:tab/>
        <w:t xml:space="preserve">מה הבטיחה לך אימא שלך, שתחליפו דירות? </w:t>
      </w:r>
    </w:p>
    <w:p w:rsidR="00D62F0C" w:rsidRPr="00D62F0C" w:rsidRDefault="00D62F0C" w:rsidP="00D62F0C">
      <w:pPr>
        <w:spacing w:after="0" w:line="360" w:lineRule="auto"/>
        <w:ind w:left="720"/>
        <w:jc w:val="both"/>
        <w:rPr>
          <w:rFonts w:ascii="FrankRuehl" w:eastAsia="Times New Roman" w:hAnsi="FrankRuehl" w:cs="FrankRuehl"/>
          <w:noProof/>
          <w:sz w:val="24"/>
          <w:szCs w:val="24"/>
        </w:rPr>
      </w:pPr>
      <w:r w:rsidRPr="00D62F0C">
        <w:rPr>
          <w:rFonts w:ascii="FrankRuehl" w:eastAsia="Times New Roman" w:hAnsi="FrankRuehl" w:cs="FrankRuehl"/>
          <w:noProof/>
          <w:sz w:val="24"/>
          <w:szCs w:val="24"/>
          <w:rtl/>
        </w:rPr>
        <w:t>ת.</w:t>
      </w:r>
      <w:r w:rsidRPr="00D62F0C">
        <w:rPr>
          <w:rFonts w:ascii="FrankRuehl" w:eastAsia="Times New Roman" w:hAnsi="FrankRuehl" w:cs="FrankRuehl"/>
          <w:noProof/>
          <w:sz w:val="24"/>
          <w:szCs w:val="24"/>
          <w:rtl/>
        </w:rPr>
        <w:tab/>
        <w:t xml:space="preserve">הבטיחה לאשתי שנחליף דירות. </w:t>
      </w:r>
    </w:p>
    <w:p w:rsidR="00D62F0C" w:rsidRPr="00D62F0C" w:rsidRDefault="00D62F0C" w:rsidP="00D62F0C">
      <w:pPr>
        <w:spacing w:after="0" w:line="360" w:lineRule="auto"/>
        <w:ind w:left="360"/>
        <w:contextualSpacing/>
        <w:jc w:val="both"/>
        <w:rPr>
          <w:rFonts w:ascii="Arial" w:eastAsia="Times New Roman" w:hAnsi="Arial" w:cs="David"/>
          <w:sz w:val="24"/>
          <w:szCs w:val="24"/>
          <w:rtl/>
        </w:rPr>
      </w:pPr>
      <w:r w:rsidRPr="00D62F0C">
        <w:rPr>
          <w:rFonts w:ascii="Arial" w:eastAsia="Times New Roman" w:hAnsi="Arial" w:cs="David"/>
          <w:sz w:val="24"/>
          <w:szCs w:val="24"/>
          <w:rtl/>
        </w:rPr>
        <w:t>...</w:t>
      </w:r>
    </w:p>
    <w:p w:rsidR="00D62F0C" w:rsidRPr="00D62F0C" w:rsidRDefault="00D62F0C" w:rsidP="00D62F0C">
      <w:pPr>
        <w:spacing w:after="0" w:line="360" w:lineRule="auto"/>
        <w:ind w:left="720"/>
        <w:jc w:val="both"/>
        <w:rPr>
          <w:rFonts w:ascii="FrankRuehl" w:eastAsia="Times New Roman" w:hAnsi="FrankRuehl" w:cs="FrankRuehl"/>
          <w:b/>
          <w:bCs/>
          <w:sz w:val="24"/>
          <w:szCs w:val="24"/>
          <w:rtl/>
        </w:rPr>
      </w:pPr>
      <w:r w:rsidRPr="00D62F0C">
        <w:rPr>
          <w:rFonts w:ascii="FrankRuehl" w:eastAsia="Times New Roman" w:hAnsi="FrankRuehl" w:cs="FrankRuehl"/>
          <w:b/>
          <w:bCs/>
          <w:noProof/>
          <w:sz w:val="24"/>
          <w:szCs w:val="24"/>
          <w:rtl/>
        </w:rPr>
        <w:t>ש.</w:t>
      </w:r>
      <w:r w:rsidRPr="00D62F0C">
        <w:rPr>
          <w:rFonts w:ascii="FrankRuehl" w:eastAsia="Times New Roman" w:hAnsi="FrankRuehl" w:cs="FrankRuehl"/>
          <w:b/>
          <w:bCs/>
          <w:noProof/>
          <w:sz w:val="24"/>
          <w:szCs w:val="24"/>
          <w:rtl/>
        </w:rPr>
        <w:tab/>
        <w:t xml:space="preserve">בשני כתבי ההגנה, דובר על שיפוץ והחלפת דירה עם דירה, נכון? </w:t>
      </w:r>
    </w:p>
    <w:p w:rsidR="00D62F0C" w:rsidRPr="00D62F0C" w:rsidRDefault="00D62F0C" w:rsidP="00D62F0C">
      <w:pPr>
        <w:spacing w:after="0" w:line="360" w:lineRule="auto"/>
        <w:ind w:left="720"/>
        <w:jc w:val="both"/>
        <w:rPr>
          <w:rFonts w:ascii="FrankRuehl" w:eastAsia="Times New Roman" w:hAnsi="FrankRuehl" w:cs="FrankRuehl"/>
          <w:noProof/>
          <w:sz w:val="24"/>
          <w:szCs w:val="24"/>
        </w:rPr>
      </w:pPr>
      <w:r w:rsidRPr="00D62F0C">
        <w:rPr>
          <w:rFonts w:ascii="FrankRuehl" w:eastAsia="Times New Roman" w:hAnsi="FrankRuehl" w:cs="FrankRuehl"/>
          <w:noProof/>
          <w:sz w:val="24"/>
          <w:szCs w:val="24"/>
          <w:rtl/>
        </w:rPr>
        <w:t>ת.</w:t>
      </w:r>
      <w:r w:rsidRPr="00D62F0C">
        <w:rPr>
          <w:rFonts w:ascii="FrankRuehl" w:eastAsia="Times New Roman" w:hAnsi="FrankRuehl" w:cs="FrankRuehl"/>
          <w:noProof/>
          <w:sz w:val="24"/>
          <w:szCs w:val="24"/>
          <w:rtl/>
        </w:rPr>
        <w:tab/>
        <w:t xml:space="preserve">היא נתנה לי שתי דירות. </w:t>
      </w:r>
    </w:p>
    <w:p w:rsidR="00D62F0C" w:rsidRPr="00D62F0C" w:rsidRDefault="00D62F0C" w:rsidP="00D62F0C">
      <w:pPr>
        <w:spacing w:after="0" w:line="360" w:lineRule="auto"/>
        <w:ind w:left="720"/>
        <w:jc w:val="both"/>
        <w:rPr>
          <w:rFonts w:ascii="FrankRuehl" w:eastAsia="Times New Roman" w:hAnsi="FrankRuehl" w:cs="FrankRuehl"/>
          <w:b/>
          <w:bCs/>
          <w:sz w:val="24"/>
          <w:szCs w:val="24"/>
          <w:rtl/>
        </w:rPr>
      </w:pPr>
      <w:r w:rsidRPr="00D62F0C">
        <w:rPr>
          <w:rFonts w:ascii="FrankRuehl" w:eastAsia="Times New Roman" w:hAnsi="FrankRuehl" w:cs="FrankRuehl"/>
          <w:b/>
          <w:bCs/>
          <w:noProof/>
          <w:sz w:val="24"/>
          <w:szCs w:val="24"/>
          <w:rtl/>
        </w:rPr>
        <w:t>ש.</w:t>
      </w:r>
      <w:r w:rsidRPr="00D62F0C">
        <w:rPr>
          <w:rFonts w:ascii="FrankRuehl" w:eastAsia="Times New Roman" w:hAnsi="FrankRuehl" w:cs="FrankRuehl"/>
          <w:b/>
          <w:bCs/>
          <w:noProof/>
          <w:sz w:val="24"/>
          <w:szCs w:val="24"/>
          <w:rtl/>
        </w:rPr>
        <w:tab/>
        <w:t xml:space="preserve">אתה הגשת שני כתבי הגנה, בהם דובר על דירה מול דירה, נכון? </w:t>
      </w:r>
    </w:p>
    <w:p w:rsidR="00D62F0C" w:rsidRPr="00D62F0C" w:rsidRDefault="00D62F0C" w:rsidP="00D62F0C">
      <w:pPr>
        <w:spacing w:after="0" w:line="360" w:lineRule="auto"/>
        <w:ind w:left="1440" w:hanging="720"/>
        <w:jc w:val="both"/>
        <w:rPr>
          <w:rFonts w:ascii="FrankRuehl" w:eastAsia="Times New Roman" w:hAnsi="FrankRuehl" w:cs="FrankRuehl"/>
          <w:noProof/>
          <w:sz w:val="24"/>
          <w:szCs w:val="24"/>
        </w:rPr>
      </w:pPr>
      <w:r w:rsidRPr="00D62F0C">
        <w:rPr>
          <w:rFonts w:ascii="FrankRuehl" w:eastAsia="Times New Roman" w:hAnsi="FrankRuehl" w:cs="FrankRuehl"/>
          <w:noProof/>
          <w:sz w:val="24"/>
          <w:szCs w:val="24"/>
          <w:rtl/>
        </w:rPr>
        <w:t>ת.</w:t>
      </w:r>
      <w:r w:rsidRPr="00D62F0C">
        <w:rPr>
          <w:rFonts w:ascii="FrankRuehl" w:eastAsia="Times New Roman" w:hAnsi="FrankRuehl" w:cs="FrankRuehl"/>
          <w:noProof/>
          <w:sz w:val="24"/>
          <w:szCs w:val="24"/>
          <w:rtl/>
        </w:rPr>
        <w:tab/>
        <w:t xml:space="preserve">ביני לבינה הוסכם שאנחנו עוברים למבנה השני למטה, אני ואשתי. למעלה הילדים שלי מנישואים ראשונים. ככה הובטח לאשתי עוד שאימא שלי שידכה בינינו, כל זה לאחר שאימא עשתה בעצמה בלאגן". </w:t>
      </w:r>
    </w:p>
    <w:p w:rsidR="00D62F0C" w:rsidRPr="00D62F0C" w:rsidRDefault="00D62F0C" w:rsidP="00D62F0C">
      <w:pPr>
        <w:spacing w:after="0" w:line="360" w:lineRule="auto"/>
        <w:jc w:val="both"/>
        <w:rPr>
          <w:rFonts w:ascii="David" w:eastAsia="Times New Roman" w:hAnsi="David" w:cs="David"/>
          <w:noProof/>
          <w:sz w:val="24"/>
          <w:szCs w:val="24"/>
          <w:rtl/>
        </w:rPr>
      </w:pPr>
    </w:p>
    <w:p w:rsidR="00D62F0C" w:rsidRPr="00D62F0C" w:rsidRDefault="00D62F0C" w:rsidP="00D62F0C">
      <w:pPr>
        <w:spacing w:after="0" w:line="360" w:lineRule="auto"/>
        <w:jc w:val="both"/>
        <w:rPr>
          <w:rFonts w:ascii="David" w:eastAsia="Times New Roman" w:hAnsi="David" w:cs="David"/>
          <w:noProof/>
          <w:sz w:val="24"/>
          <w:szCs w:val="24"/>
          <w:rtl/>
        </w:rPr>
      </w:pPr>
      <w:r w:rsidRPr="00D62F0C">
        <w:rPr>
          <w:rFonts w:ascii="David" w:eastAsia="Times New Roman" w:hAnsi="David" w:cs="David"/>
          <w:noProof/>
          <w:sz w:val="24"/>
          <w:szCs w:val="24"/>
          <w:rtl/>
        </w:rPr>
        <w:t>לכך יש להוסיף, שנתבע אישר בחקירתו שאחיו הוא זה שהחזיק בדירה השנייה, ובסמוך למועד עזיבתו, הצית אותה. מאז, הדירה עומדת סגורה, ולא נעשה בה כל שינוי. וכך הצהיר</w:t>
      </w:r>
      <w:r w:rsidRPr="00D62F0C">
        <w:rPr>
          <w:rFonts w:ascii="Arial" w:eastAsia="Times New Roman" w:hAnsi="Arial" w:cs="David"/>
          <w:noProof/>
          <w:sz w:val="24"/>
          <w:szCs w:val="24"/>
          <w:rtl/>
        </w:rPr>
        <w:t xml:space="preserve"> (ר' עדותו עמ' 33 ו- 34 לפרוטוקול):</w:t>
      </w:r>
    </w:p>
    <w:p w:rsidR="00D62F0C" w:rsidRPr="00D62F0C" w:rsidRDefault="00D62F0C" w:rsidP="00D62F0C">
      <w:pPr>
        <w:spacing w:after="0" w:line="240" w:lineRule="auto"/>
        <w:ind w:left="720"/>
        <w:jc w:val="both"/>
        <w:rPr>
          <w:rFonts w:ascii="Calibri" w:eastAsia="Calibri" w:hAnsi="Calibri" w:cs="Arial"/>
          <w:b/>
          <w:bCs/>
          <w:sz w:val="20"/>
          <w:szCs w:val="20"/>
        </w:rPr>
      </w:pPr>
    </w:p>
    <w:p w:rsidR="00D62F0C" w:rsidRPr="00D62F0C" w:rsidRDefault="00D62F0C" w:rsidP="00D62F0C">
      <w:pPr>
        <w:spacing w:after="0" w:line="360" w:lineRule="auto"/>
        <w:ind w:left="720"/>
        <w:jc w:val="both"/>
        <w:rPr>
          <w:rFonts w:ascii="FrankRuehl" w:eastAsia="Calibri" w:hAnsi="FrankRuehl" w:cs="FrankRuehl"/>
          <w:b/>
          <w:bCs/>
          <w:sz w:val="24"/>
          <w:szCs w:val="24"/>
        </w:rPr>
      </w:pPr>
      <w:r w:rsidRPr="00D62F0C">
        <w:rPr>
          <w:rFonts w:ascii="FrankRuehl" w:eastAsia="Calibri" w:hAnsi="FrankRuehl" w:cs="FrankRuehl"/>
          <w:b/>
          <w:bCs/>
          <w:sz w:val="24"/>
          <w:szCs w:val="24"/>
          <w:rtl/>
        </w:rPr>
        <w:t>"ש.</w:t>
      </w:r>
      <w:r w:rsidRPr="00D62F0C">
        <w:rPr>
          <w:rFonts w:ascii="FrankRuehl" w:eastAsia="Calibri" w:hAnsi="FrankRuehl" w:cs="FrankRuehl"/>
          <w:b/>
          <w:bCs/>
          <w:sz w:val="24"/>
          <w:szCs w:val="24"/>
          <w:rtl/>
        </w:rPr>
        <w:tab/>
        <w:t xml:space="preserve">מי גר בקומה השנייה, הדירה השנייה בבניין אחד, מעל הדירה שלך? </w:t>
      </w:r>
    </w:p>
    <w:p w:rsidR="00D62F0C" w:rsidRPr="00D62F0C" w:rsidRDefault="00D62F0C" w:rsidP="00D62F0C">
      <w:pPr>
        <w:spacing w:after="0" w:line="360" w:lineRule="auto"/>
        <w:ind w:left="720"/>
        <w:jc w:val="both"/>
        <w:rPr>
          <w:rFonts w:ascii="FrankRuehl" w:eastAsia="Calibri" w:hAnsi="FrankRuehl" w:cs="FrankRuehl"/>
          <w:sz w:val="24"/>
          <w:szCs w:val="24"/>
          <w:rtl/>
        </w:rPr>
      </w:pPr>
      <w:r w:rsidRPr="00D62F0C">
        <w:rPr>
          <w:rFonts w:ascii="FrankRuehl" w:eastAsia="Calibri" w:hAnsi="FrankRuehl" w:cs="FrankRuehl"/>
          <w:sz w:val="24"/>
          <w:szCs w:val="24"/>
          <w:rtl/>
        </w:rPr>
        <w:t>ת.</w:t>
      </w:r>
      <w:r w:rsidRPr="00D62F0C">
        <w:rPr>
          <w:rFonts w:ascii="FrankRuehl" w:eastAsia="Calibri" w:hAnsi="FrankRuehl" w:cs="FrankRuehl"/>
          <w:sz w:val="24"/>
          <w:szCs w:val="24"/>
          <w:rtl/>
        </w:rPr>
        <w:tab/>
        <w:t xml:space="preserve">היה גר שם אח. </w:t>
      </w:r>
    </w:p>
    <w:p w:rsidR="00D62F0C" w:rsidRPr="00D62F0C" w:rsidRDefault="00D62F0C" w:rsidP="00D62F0C">
      <w:pPr>
        <w:spacing w:after="0" w:line="360" w:lineRule="auto"/>
        <w:ind w:left="720"/>
        <w:jc w:val="both"/>
        <w:rPr>
          <w:rFonts w:ascii="FrankRuehl" w:eastAsia="Calibri" w:hAnsi="FrankRuehl" w:cs="FrankRuehl"/>
          <w:b/>
          <w:bCs/>
          <w:sz w:val="24"/>
          <w:szCs w:val="24"/>
        </w:rPr>
      </w:pPr>
      <w:r w:rsidRPr="00D62F0C">
        <w:rPr>
          <w:rFonts w:ascii="FrankRuehl" w:eastAsia="Calibri" w:hAnsi="FrankRuehl" w:cs="FrankRuehl"/>
          <w:b/>
          <w:bCs/>
          <w:sz w:val="24"/>
          <w:szCs w:val="24"/>
          <w:rtl/>
        </w:rPr>
        <w:t>ש.</w:t>
      </w:r>
      <w:r w:rsidRPr="00D62F0C">
        <w:rPr>
          <w:rFonts w:ascii="FrankRuehl" w:eastAsia="Calibri" w:hAnsi="FrankRuehl" w:cs="FrankRuehl"/>
          <w:b/>
          <w:bCs/>
          <w:sz w:val="24"/>
          <w:szCs w:val="24"/>
          <w:rtl/>
        </w:rPr>
        <w:tab/>
        <w:t xml:space="preserve">מתי יצא? </w:t>
      </w:r>
    </w:p>
    <w:p w:rsidR="00D62F0C" w:rsidRPr="00D62F0C" w:rsidRDefault="00D62F0C" w:rsidP="00D62F0C">
      <w:pPr>
        <w:spacing w:after="0" w:line="360" w:lineRule="auto"/>
        <w:ind w:left="720"/>
        <w:jc w:val="both"/>
        <w:rPr>
          <w:rFonts w:ascii="FrankRuehl" w:eastAsia="Calibri" w:hAnsi="FrankRuehl" w:cs="FrankRuehl"/>
          <w:sz w:val="24"/>
          <w:szCs w:val="24"/>
          <w:rtl/>
        </w:rPr>
      </w:pPr>
      <w:r w:rsidRPr="00D62F0C">
        <w:rPr>
          <w:rFonts w:ascii="FrankRuehl" w:eastAsia="Calibri" w:hAnsi="FrankRuehl" w:cs="FrankRuehl"/>
          <w:sz w:val="24"/>
          <w:szCs w:val="24"/>
          <w:rtl/>
        </w:rPr>
        <w:t>ת.</w:t>
      </w:r>
      <w:r w:rsidRPr="00D62F0C">
        <w:rPr>
          <w:rFonts w:ascii="FrankRuehl" w:eastAsia="Calibri" w:hAnsi="FrankRuehl" w:cs="FrankRuehl"/>
          <w:sz w:val="24"/>
          <w:szCs w:val="24"/>
          <w:rtl/>
        </w:rPr>
        <w:tab/>
        <w:t xml:space="preserve">לקראת סוף 2015. לאחר שנחתם ההסכם באיזה חודש, חודשיים. סמוך לזה. </w:t>
      </w:r>
    </w:p>
    <w:p w:rsidR="00D62F0C" w:rsidRPr="00D62F0C" w:rsidRDefault="00D62F0C" w:rsidP="00D62F0C">
      <w:pPr>
        <w:spacing w:after="0" w:line="360" w:lineRule="auto"/>
        <w:ind w:left="720"/>
        <w:jc w:val="both"/>
        <w:rPr>
          <w:rFonts w:ascii="FrankRuehl" w:eastAsia="Calibri" w:hAnsi="FrankRuehl" w:cs="FrankRuehl"/>
          <w:b/>
          <w:bCs/>
          <w:sz w:val="24"/>
          <w:szCs w:val="24"/>
          <w:rtl/>
        </w:rPr>
      </w:pPr>
      <w:r w:rsidRPr="00D62F0C">
        <w:rPr>
          <w:rFonts w:ascii="FrankRuehl" w:eastAsia="Calibri" w:hAnsi="FrankRuehl" w:cs="FrankRuehl"/>
          <w:b/>
          <w:bCs/>
          <w:sz w:val="24"/>
          <w:szCs w:val="24"/>
          <w:rtl/>
        </w:rPr>
        <w:t>...</w:t>
      </w:r>
    </w:p>
    <w:p w:rsidR="00D62F0C" w:rsidRPr="00D62F0C" w:rsidRDefault="00D62F0C" w:rsidP="00D62F0C">
      <w:pPr>
        <w:spacing w:after="0" w:line="360" w:lineRule="auto"/>
        <w:ind w:left="720"/>
        <w:jc w:val="both"/>
        <w:rPr>
          <w:rFonts w:ascii="FrankRuehl" w:eastAsia="Calibri" w:hAnsi="FrankRuehl" w:cs="FrankRuehl"/>
          <w:b/>
          <w:bCs/>
          <w:sz w:val="24"/>
          <w:szCs w:val="24"/>
          <w:rtl/>
        </w:rPr>
      </w:pPr>
      <w:r w:rsidRPr="00D62F0C">
        <w:rPr>
          <w:rFonts w:ascii="FrankRuehl" w:eastAsia="Calibri" w:hAnsi="FrankRuehl" w:cs="FrankRuehl"/>
          <w:b/>
          <w:bCs/>
          <w:sz w:val="24"/>
          <w:szCs w:val="24"/>
          <w:rtl/>
        </w:rPr>
        <w:t>ש.</w:t>
      </w:r>
      <w:r w:rsidRPr="00D62F0C">
        <w:rPr>
          <w:rFonts w:ascii="FrankRuehl" w:eastAsia="Calibri" w:hAnsi="FrankRuehl" w:cs="FrankRuehl"/>
          <w:b/>
          <w:bCs/>
          <w:sz w:val="24"/>
          <w:szCs w:val="24"/>
          <w:rtl/>
        </w:rPr>
        <w:tab/>
        <w:t xml:space="preserve">..מה מצב הדירה שנשרפה? </w:t>
      </w:r>
    </w:p>
    <w:p w:rsidR="00D62F0C" w:rsidRPr="00D62F0C" w:rsidRDefault="00D62F0C" w:rsidP="00D62F0C">
      <w:pPr>
        <w:spacing w:after="0" w:line="360" w:lineRule="auto"/>
        <w:ind w:left="720"/>
        <w:jc w:val="both"/>
        <w:rPr>
          <w:rFonts w:ascii="FrankRuehl" w:eastAsia="Calibri" w:hAnsi="FrankRuehl" w:cs="FrankRuehl"/>
          <w:sz w:val="24"/>
          <w:szCs w:val="24"/>
          <w:rtl/>
        </w:rPr>
      </w:pPr>
      <w:r w:rsidRPr="00D62F0C">
        <w:rPr>
          <w:rFonts w:ascii="FrankRuehl" w:eastAsia="Calibri" w:hAnsi="FrankRuehl" w:cs="FrankRuehl"/>
          <w:sz w:val="24"/>
          <w:szCs w:val="24"/>
          <w:rtl/>
        </w:rPr>
        <w:t>ת.</w:t>
      </w:r>
      <w:r w:rsidRPr="00D62F0C">
        <w:rPr>
          <w:rFonts w:ascii="FrankRuehl" w:eastAsia="Calibri" w:hAnsi="FrankRuehl" w:cs="FrankRuehl"/>
          <w:sz w:val="24"/>
          <w:szCs w:val="24"/>
          <w:rtl/>
        </w:rPr>
        <w:tab/>
        <w:t>עדין באותו מצב. סגורה."</w:t>
      </w:r>
    </w:p>
    <w:p w:rsidR="00D62F0C" w:rsidRPr="00D62F0C" w:rsidRDefault="00D62F0C" w:rsidP="00D62F0C">
      <w:pPr>
        <w:spacing w:after="0" w:line="360" w:lineRule="auto"/>
        <w:ind w:left="720"/>
        <w:jc w:val="both"/>
        <w:rPr>
          <w:rFonts w:ascii="FrankRuehl" w:eastAsia="Calibri" w:hAnsi="FrankRuehl" w:cs="FrankRuehl"/>
          <w:sz w:val="24"/>
          <w:szCs w:val="24"/>
          <w:rtl/>
        </w:rPr>
      </w:pPr>
      <w:r w:rsidRPr="00D62F0C">
        <w:rPr>
          <w:rFonts w:ascii="FrankRuehl" w:eastAsia="Calibri" w:hAnsi="FrankRuehl" w:cs="FrankRuehl"/>
          <w:sz w:val="24"/>
          <w:szCs w:val="24"/>
          <w:rtl/>
        </w:rPr>
        <w:t>....</w:t>
      </w:r>
    </w:p>
    <w:p w:rsidR="00D62F0C" w:rsidRPr="00D62F0C" w:rsidRDefault="00D62F0C" w:rsidP="00D62F0C">
      <w:pPr>
        <w:spacing w:after="0" w:line="360" w:lineRule="auto"/>
        <w:ind w:left="720"/>
        <w:jc w:val="both"/>
        <w:rPr>
          <w:rFonts w:ascii="FrankRuehl" w:eastAsia="Calibri" w:hAnsi="FrankRuehl" w:cs="FrankRuehl"/>
          <w:b/>
          <w:bCs/>
          <w:sz w:val="24"/>
          <w:szCs w:val="24"/>
          <w:rtl/>
        </w:rPr>
      </w:pPr>
      <w:r w:rsidRPr="00D62F0C">
        <w:rPr>
          <w:rFonts w:ascii="FrankRuehl" w:eastAsia="Calibri" w:hAnsi="FrankRuehl" w:cs="FrankRuehl"/>
          <w:b/>
          <w:bCs/>
          <w:sz w:val="24"/>
          <w:szCs w:val="24"/>
          <w:rtl/>
        </w:rPr>
        <w:t>"ש.</w:t>
      </w:r>
      <w:r w:rsidRPr="00D62F0C">
        <w:rPr>
          <w:rFonts w:ascii="FrankRuehl" w:eastAsia="Calibri" w:hAnsi="FrankRuehl" w:cs="FrankRuehl"/>
          <w:b/>
          <w:bCs/>
          <w:sz w:val="24"/>
          <w:szCs w:val="24"/>
          <w:rtl/>
        </w:rPr>
        <w:tab/>
        <w:t xml:space="preserve">אז לא עשית שום שינוי בדירה השנייה? </w:t>
      </w:r>
    </w:p>
    <w:p w:rsidR="00D62F0C" w:rsidRPr="00D62F0C" w:rsidRDefault="00D62F0C" w:rsidP="00D62F0C">
      <w:pPr>
        <w:spacing w:after="0" w:line="360" w:lineRule="auto"/>
        <w:ind w:left="720"/>
        <w:jc w:val="both"/>
        <w:rPr>
          <w:rFonts w:ascii="FrankRuehl" w:eastAsia="Calibri" w:hAnsi="FrankRuehl" w:cs="FrankRuehl"/>
          <w:sz w:val="24"/>
          <w:szCs w:val="24"/>
          <w:rtl/>
        </w:rPr>
      </w:pPr>
      <w:r w:rsidRPr="00D62F0C">
        <w:rPr>
          <w:rFonts w:ascii="FrankRuehl" w:eastAsia="Calibri" w:hAnsi="FrankRuehl" w:cs="FrankRuehl"/>
          <w:sz w:val="24"/>
          <w:szCs w:val="24"/>
          <w:rtl/>
        </w:rPr>
        <w:t>ת.</w:t>
      </w:r>
      <w:r w:rsidRPr="00D62F0C">
        <w:rPr>
          <w:rFonts w:ascii="FrankRuehl" w:eastAsia="Calibri" w:hAnsi="FrankRuehl" w:cs="FrankRuehl"/>
          <w:sz w:val="24"/>
          <w:szCs w:val="24"/>
          <w:rtl/>
        </w:rPr>
        <w:tab/>
        <w:t xml:space="preserve">לא. הקפאתי הכל. </w:t>
      </w:r>
    </w:p>
    <w:p w:rsidR="00D62F0C" w:rsidRPr="00D62F0C" w:rsidRDefault="00D62F0C" w:rsidP="00D62F0C">
      <w:pPr>
        <w:spacing w:after="0" w:line="360" w:lineRule="auto"/>
        <w:ind w:left="720"/>
        <w:jc w:val="both"/>
        <w:rPr>
          <w:rFonts w:ascii="FrankRuehl" w:eastAsia="Calibri" w:hAnsi="FrankRuehl" w:cs="FrankRuehl"/>
          <w:b/>
          <w:bCs/>
          <w:sz w:val="24"/>
          <w:szCs w:val="24"/>
        </w:rPr>
      </w:pPr>
      <w:r w:rsidRPr="00D62F0C">
        <w:rPr>
          <w:rFonts w:ascii="FrankRuehl" w:eastAsia="Calibri" w:hAnsi="FrankRuehl" w:cs="FrankRuehl"/>
          <w:b/>
          <w:bCs/>
          <w:sz w:val="24"/>
          <w:szCs w:val="24"/>
          <w:rtl/>
        </w:rPr>
        <w:lastRenderedPageBreak/>
        <w:t>ש.</w:t>
      </w:r>
      <w:r w:rsidRPr="00D62F0C">
        <w:rPr>
          <w:rFonts w:ascii="FrankRuehl" w:eastAsia="Calibri" w:hAnsi="FrankRuehl" w:cs="FrankRuehl"/>
          <w:b/>
          <w:bCs/>
          <w:sz w:val="24"/>
          <w:szCs w:val="24"/>
          <w:rtl/>
        </w:rPr>
        <w:tab/>
        <w:t xml:space="preserve">נכון להגיד שבפועל לא שינית את מצבך ביחס לדירה השנייה? היא עדין סגורה. </w:t>
      </w:r>
    </w:p>
    <w:p w:rsidR="00D62F0C" w:rsidRPr="00D62F0C" w:rsidRDefault="00D62F0C" w:rsidP="00D62F0C">
      <w:pPr>
        <w:spacing w:after="0" w:line="360" w:lineRule="auto"/>
        <w:ind w:left="720"/>
        <w:jc w:val="both"/>
        <w:rPr>
          <w:rFonts w:ascii="FrankRuehl" w:eastAsia="Calibri" w:hAnsi="FrankRuehl" w:cs="FrankRuehl"/>
          <w:sz w:val="24"/>
          <w:szCs w:val="24"/>
          <w:rtl/>
        </w:rPr>
      </w:pPr>
      <w:r w:rsidRPr="00D62F0C">
        <w:rPr>
          <w:rFonts w:ascii="FrankRuehl" w:eastAsia="Calibri" w:hAnsi="FrankRuehl" w:cs="FrankRuehl"/>
          <w:sz w:val="24"/>
          <w:szCs w:val="24"/>
          <w:rtl/>
        </w:rPr>
        <w:t>ת.</w:t>
      </w:r>
      <w:r w:rsidRPr="00D62F0C">
        <w:rPr>
          <w:rFonts w:ascii="FrankRuehl" w:eastAsia="Calibri" w:hAnsi="FrankRuehl" w:cs="FrankRuehl"/>
          <w:sz w:val="24"/>
          <w:szCs w:val="24"/>
          <w:rtl/>
        </w:rPr>
        <w:tab/>
        <w:t>נכון".</w:t>
      </w:r>
    </w:p>
    <w:p w:rsidR="00D62F0C" w:rsidRPr="00D62F0C" w:rsidRDefault="00D62F0C" w:rsidP="00D62F0C">
      <w:pPr>
        <w:spacing w:after="0" w:line="360" w:lineRule="auto"/>
        <w:jc w:val="both"/>
        <w:rPr>
          <w:rFonts w:ascii="FrankRuehl" w:eastAsia="Calibri" w:hAnsi="FrankRuehl" w:cs="FrankRuehl"/>
          <w:sz w:val="24"/>
          <w:szCs w:val="24"/>
          <w:rtl/>
        </w:rPr>
      </w:pPr>
    </w:p>
    <w:p w:rsidR="00D62F0C" w:rsidRPr="00D62F0C" w:rsidRDefault="00D62F0C" w:rsidP="00D62F0C">
      <w:pPr>
        <w:numPr>
          <w:ilvl w:val="0"/>
          <w:numId w:val="1"/>
        </w:numPr>
        <w:spacing w:after="0" w:line="360" w:lineRule="auto"/>
        <w:jc w:val="both"/>
        <w:rPr>
          <w:rFonts w:ascii="David" w:eastAsia="Calibri" w:hAnsi="David" w:cs="David"/>
          <w:sz w:val="24"/>
          <w:szCs w:val="24"/>
          <w:rtl/>
        </w:rPr>
      </w:pPr>
      <w:r w:rsidRPr="00D62F0C">
        <w:rPr>
          <w:rFonts w:ascii="David" w:eastAsia="Calibri" w:hAnsi="David" w:cs="David"/>
          <w:sz w:val="24"/>
          <w:szCs w:val="24"/>
          <w:rtl/>
        </w:rPr>
        <w:t xml:space="preserve">גם בגרסתה של הנתבעת עלו סתירות מרובות, באופן בו בכתב ההגנה טענה להחלפת דירות, בכתב ההגנה השני טענה להחלפת דירות ולאחר מכן להענקת הזכויות בכלל המבנה, ובעדותה הצהירה שהובטחו לנתבעים 2 הנכסים באופן בו הקטינים יתגוררו בקומה העליונה, והם בקומה התחתונה ויבנו מדרגות פנימיות. </w:t>
      </w:r>
    </w:p>
    <w:p w:rsidR="00D62F0C" w:rsidRPr="00D62F0C" w:rsidRDefault="00D62F0C" w:rsidP="00D62F0C">
      <w:pPr>
        <w:spacing w:after="0" w:line="240" w:lineRule="auto"/>
        <w:ind w:left="360"/>
        <w:jc w:val="both"/>
        <w:rPr>
          <w:rFonts w:ascii="David" w:eastAsia="Calibri" w:hAnsi="David" w:cs="David"/>
          <w:sz w:val="24"/>
          <w:szCs w:val="24"/>
        </w:rPr>
      </w:pPr>
    </w:p>
    <w:p w:rsidR="00D62F0C" w:rsidRPr="00D62F0C" w:rsidRDefault="00D62F0C" w:rsidP="00D62F0C">
      <w:pPr>
        <w:numPr>
          <w:ilvl w:val="0"/>
          <w:numId w:val="1"/>
        </w:numPr>
        <w:spacing w:after="0" w:line="360" w:lineRule="auto"/>
        <w:jc w:val="both"/>
        <w:rPr>
          <w:rFonts w:ascii="David" w:eastAsia="Calibri" w:hAnsi="David" w:cs="David"/>
          <w:sz w:val="24"/>
          <w:szCs w:val="24"/>
        </w:rPr>
      </w:pPr>
      <w:r w:rsidRPr="00D62F0C">
        <w:rPr>
          <w:rFonts w:ascii="David" w:eastAsia="Calibri" w:hAnsi="David" w:cs="David"/>
          <w:sz w:val="24"/>
          <w:szCs w:val="24"/>
          <w:rtl/>
        </w:rPr>
        <w:t>מאידך, התובעת, בעדותה, מסרה גרסה סדורה והבהירה את ההיגיון העומד בבסיס החלפת הנכסים. וכך הצהירה (ראה עדותה בעמוד 17 שורות 25-31);</w:t>
      </w:r>
    </w:p>
    <w:p w:rsidR="00D62F0C" w:rsidRPr="00D62F0C" w:rsidRDefault="00D62F0C" w:rsidP="00D62F0C">
      <w:pPr>
        <w:spacing w:after="0" w:line="360" w:lineRule="auto"/>
        <w:ind w:left="720"/>
        <w:jc w:val="both"/>
        <w:rPr>
          <w:rFonts w:ascii="FrankRuehl" w:eastAsia="Times New Roman" w:hAnsi="FrankRuehl" w:cs="FrankRuehl"/>
          <w:b/>
          <w:bCs/>
          <w:sz w:val="24"/>
          <w:szCs w:val="24"/>
          <w:rtl/>
        </w:rPr>
      </w:pPr>
      <w:r w:rsidRPr="00D62F0C">
        <w:rPr>
          <w:rFonts w:ascii="FrankRuehl" w:eastAsia="Times New Roman" w:hAnsi="FrankRuehl" w:cs="FrankRuehl"/>
          <w:b/>
          <w:bCs/>
          <w:noProof/>
          <w:sz w:val="24"/>
          <w:szCs w:val="24"/>
          <w:rtl/>
        </w:rPr>
        <w:t>"ש.</w:t>
      </w:r>
      <w:r w:rsidRPr="00D62F0C">
        <w:rPr>
          <w:rFonts w:ascii="FrankRuehl" w:eastAsia="Times New Roman" w:hAnsi="FrankRuehl" w:cs="FrankRuehl"/>
          <w:b/>
          <w:bCs/>
          <w:noProof/>
          <w:sz w:val="24"/>
          <w:szCs w:val="24"/>
          <w:rtl/>
        </w:rPr>
        <w:tab/>
        <w:t>מה גודל הדירה שאת מתגוררת בה כעת?</w:t>
      </w:r>
    </w:p>
    <w:p w:rsidR="00D62F0C" w:rsidRPr="00D62F0C" w:rsidRDefault="00D62F0C" w:rsidP="00D62F0C">
      <w:pPr>
        <w:spacing w:after="0" w:line="360" w:lineRule="auto"/>
        <w:ind w:left="720"/>
        <w:jc w:val="both"/>
        <w:rPr>
          <w:rFonts w:ascii="FrankRuehl" w:eastAsia="Times New Roman" w:hAnsi="FrankRuehl" w:cs="FrankRuehl"/>
          <w:noProof/>
          <w:sz w:val="24"/>
          <w:szCs w:val="24"/>
        </w:rPr>
      </w:pPr>
      <w:r w:rsidRPr="00D62F0C">
        <w:rPr>
          <w:rFonts w:ascii="FrankRuehl" w:eastAsia="Times New Roman" w:hAnsi="FrankRuehl" w:cs="FrankRuehl"/>
          <w:noProof/>
          <w:sz w:val="24"/>
          <w:szCs w:val="24"/>
          <w:rtl/>
        </w:rPr>
        <w:t>ת.</w:t>
      </w:r>
      <w:r w:rsidRPr="00D62F0C">
        <w:rPr>
          <w:rFonts w:ascii="FrankRuehl" w:eastAsia="Times New Roman" w:hAnsi="FrankRuehl" w:cs="FrankRuehl"/>
          <w:noProof/>
          <w:sz w:val="24"/>
          <w:szCs w:val="24"/>
          <w:rtl/>
        </w:rPr>
        <w:tab/>
        <w:t xml:space="preserve">110, כולם כולל כולם 110. הכל אותו דבר. </w:t>
      </w:r>
    </w:p>
    <w:p w:rsidR="00D62F0C" w:rsidRPr="00D62F0C" w:rsidRDefault="00D62F0C" w:rsidP="006A2A7E">
      <w:pPr>
        <w:spacing w:after="0" w:line="360" w:lineRule="auto"/>
        <w:ind w:left="720"/>
        <w:jc w:val="both"/>
        <w:rPr>
          <w:rFonts w:ascii="FrankRuehl" w:eastAsia="Times New Roman" w:hAnsi="FrankRuehl" w:cs="FrankRuehl"/>
          <w:b/>
          <w:bCs/>
          <w:noProof/>
          <w:sz w:val="24"/>
          <w:szCs w:val="24"/>
          <w:rtl/>
        </w:rPr>
      </w:pPr>
      <w:r w:rsidRPr="00D62F0C">
        <w:rPr>
          <w:rFonts w:ascii="FrankRuehl" w:eastAsia="Times New Roman" w:hAnsi="FrankRuehl" w:cs="FrankRuehl"/>
          <w:b/>
          <w:bCs/>
          <w:noProof/>
          <w:sz w:val="24"/>
          <w:szCs w:val="24"/>
          <w:rtl/>
        </w:rPr>
        <w:t>ש.</w:t>
      </w:r>
      <w:r w:rsidRPr="00D62F0C">
        <w:rPr>
          <w:rFonts w:ascii="FrankRuehl" w:eastAsia="Times New Roman" w:hAnsi="FrankRuehl" w:cs="FrankRuehl"/>
          <w:b/>
          <w:bCs/>
          <w:noProof/>
          <w:sz w:val="24"/>
          <w:szCs w:val="24"/>
          <w:rtl/>
        </w:rPr>
        <w:tab/>
        <w:t xml:space="preserve">גם הדירה שמתגורר בה </w:t>
      </w:r>
      <w:r w:rsidR="006A2A7E">
        <w:rPr>
          <w:rFonts w:ascii="FrankRuehl" w:eastAsia="Times New Roman" w:hAnsi="FrankRuehl" w:cs="FrankRuehl" w:hint="cs"/>
          <w:b/>
          <w:bCs/>
          <w:noProof/>
          <w:sz w:val="24"/>
          <w:szCs w:val="24"/>
          <w:rtl/>
        </w:rPr>
        <w:t xml:space="preserve">*** </w:t>
      </w:r>
      <w:r w:rsidRPr="00D62F0C">
        <w:rPr>
          <w:rFonts w:ascii="FrankRuehl" w:eastAsia="Times New Roman" w:hAnsi="FrankRuehl" w:cs="FrankRuehl"/>
          <w:b/>
          <w:bCs/>
          <w:noProof/>
          <w:sz w:val="24"/>
          <w:szCs w:val="24"/>
          <w:rtl/>
        </w:rPr>
        <w:t>110?</w:t>
      </w:r>
    </w:p>
    <w:p w:rsidR="00D62F0C" w:rsidRPr="00D62F0C" w:rsidRDefault="00D62F0C" w:rsidP="00D62F0C">
      <w:pPr>
        <w:spacing w:after="0" w:line="360" w:lineRule="auto"/>
        <w:ind w:left="720"/>
        <w:jc w:val="both"/>
        <w:rPr>
          <w:rFonts w:ascii="FrankRuehl" w:eastAsia="Times New Roman" w:hAnsi="FrankRuehl" w:cs="FrankRuehl"/>
          <w:noProof/>
          <w:sz w:val="24"/>
          <w:szCs w:val="24"/>
          <w:rtl/>
        </w:rPr>
      </w:pPr>
      <w:r w:rsidRPr="00D62F0C">
        <w:rPr>
          <w:rFonts w:ascii="FrankRuehl" w:eastAsia="Times New Roman" w:hAnsi="FrankRuehl" w:cs="FrankRuehl"/>
          <w:noProof/>
          <w:sz w:val="24"/>
          <w:szCs w:val="24"/>
          <w:rtl/>
        </w:rPr>
        <w:t>ת.</w:t>
      </w:r>
      <w:r w:rsidRPr="00D62F0C">
        <w:rPr>
          <w:rFonts w:ascii="FrankRuehl" w:eastAsia="Times New Roman" w:hAnsi="FrankRuehl" w:cs="FrankRuehl"/>
          <w:noProof/>
          <w:sz w:val="24"/>
          <w:szCs w:val="24"/>
          <w:rtl/>
        </w:rPr>
        <w:tab/>
        <w:t xml:space="preserve">כולם אותו דבר. כל הקומה אותו הדבר. </w:t>
      </w:r>
    </w:p>
    <w:p w:rsidR="00D62F0C" w:rsidRPr="00D62F0C" w:rsidRDefault="00D62F0C" w:rsidP="00D62F0C">
      <w:pPr>
        <w:spacing w:after="0" w:line="360" w:lineRule="auto"/>
        <w:ind w:left="720"/>
        <w:jc w:val="both"/>
        <w:rPr>
          <w:rFonts w:ascii="FrankRuehl" w:eastAsia="Times New Roman" w:hAnsi="FrankRuehl" w:cs="FrankRuehl"/>
          <w:b/>
          <w:bCs/>
          <w:noProof/>
          <w:sz w:val="24"/>
          <w:szCs w:val="24"/>
          <w:rtl/>
        </w:rPr>
      </w:pPr>
      <w:r w:rsidRPr="00D62F0C">
        <w:rPr>
          <w:rFonts w:ascii="FrankRuehl" w:eastAsia="Times New Roman" w:hAnsi="FrankRuehl" w:cs="FrankRuehl"/>
          <w:b/>
          <w:bCs/>
          <w:noProof/>
          <w:sz w:val="24"/>
          <w:szCs w:val="24"/>
          <w:rtl/>
        </w:rPr>
        <w:t>ש.</w:t>
      </w:r>
      <w:r w:rsidRPr="00D62F0C">
        <w:rPr>
          <w:rFonts w:ascii="FrankRuehl" w:eastAsia="Times New Roman" w:hAnsi="FrankRuehl" w:cs="FrankRuehl"/>
          <w:b/>
          <w:bCs/>
          <w:noProof/>
          <w:sz w:val="24"/>
          <w:szCs w:val="24"/>
          <w:rtl/>
        </w:rPr>
        <w:tab/>
        <w:t>אם אותו גודל, למה החלפתם ביניכם?</w:t>
      </w:r>
    </w:p>
    <w:p w:rsidR="00D62F0C" w:rsidRPr="00D62F0C" w:rsidRDefault="00D62F0C" w:rsidP="00D62F0C">
      <w:pPr>
        <w:spacing w:after="0" w:line="360" w:lineRule="auto"/>
        <w:ind w:left="1440" w:hanging="720"/>
        <w:jc w:val="both"/>
        <w:rPr>
          <w:rFonts w:ascii="FrankRuehl" w:eastAsia="Times New Roman" w:hAnsi="FrankRuehl" w:cs="FrankRuehl"/>
          <w:noProof/>
          <w:sz w:val="24"/>
          <w:szCs w:val="24"/>
          <w:rtl/>
        </w:rPr>
      </w:pPr>
      <w:r w:rsidRPr="00D62F0C">
        <w:rPr>
          <w:rFonts w:ascii="FrankRuehl" w:eastAsia="Times New Roman" w:hAnsi="FrankRuehl" w:cs="FrankRuehl"/>
          <w:noProof/>
          <w:sz w:val="24"/>
          <w:szCs w:val="24"/>
          <w:rtl/>
        </w:rPr>
        <w:t>ת.</w:t>
      </w:r>
      <w:r w:rsidRPr="00D62F0C">
        <w:rPr>
          <w:rFonts w:ascii="FrankRuehl" w:eastAsia="Times New Roman" w:hAnsi="FrankRuehl" w:cs="FrankRuehl"/>
          <w:noProof/>
          <w:sz w:val="24"/>
          <w:szCs w:val="24"/>
          <w:rtl/>
        </w:rPr>
        <w:tab/>
        <w:t xml:space="preserve">יש לי עוד חדר תוספת אבל לו יש מקלט. הוא יש לו ילדים. בבית שבו עכשיו אני גרה יש מקלט שמשמש כמחסן. בדירה השנייה שהנתבע גר בו עכשיו יש חדר נוסף". </w:t>
      </w:r>
    </w:p>
    <w:p w:rsidR="00D62F0C" w:rsidRPr="00D62F0C" w:rsidRDefault="00D62F0C" w:rsidP="00D62F0C">
      <w:pPr>
        <w:spacing w:after="0" w:line="240" w:lineRule="auto"/>
        <w:ind w:left="1440" w:hanging="720"/>
        <w:jc w:val="both"/>
        <w:rPr>
          <w:rFonts w:ascii="FrankRuehl" w:eastAsia="Times New Roman" w:hAnsi="FrankRuehl" w:cs="FrankRuehl"/>
          <w:noProof/>
          <w:sz w:val="24"/>
          <w:szCs w:val="24"/>
          <w:rtl/>
        </w:rPr>
      </w:pPr>
    </w:p>
    <w:p w:rsidR="00D62F0C" w:rsidRPr="00D62F0C" w:rsidRDefault="00D62F0C" w:rsidP="006A2A7E">
      <w:pPr>
        <w:numPr>
          <w:ilvl w:val="0"/>
          <w:numId w:val="1"/>
        </w:numPr>
        <w:spacing w:after="0" w:line="360" w:lineRule="auto"/>
        <w:contextualSpacing/>
        <w:jc w:val="both"/>
        <w:rPr>
          <w:rFonts w:ascii="David" w:eastAsia="Calibri" w:hAnsi="David" w:cs="David"/>
          <w:sz w:val="24"/>
          <w:szCs w:val="24"/>
          <w:rtl/>
        </w:rPr>
      </w:pPr>
      <w:r w:rsidRPr="00D62F0C">
        <w:rPr>
          <w:rFonts w:ascii="David" w:eastAsia="Calibri" w:hAnsi="David" w:cs="David"/>
          <w:sz w:val="24"/>
          <w:szCs w:val="24"/>
          <w:rtl/>
        </w:rPr>
        <w:t xml:space="preserve">מכאן; התרשמתי שאכן נפלה שגגה באופן הגדרת הנכס בהסכם כך שכוונת הצדדים הייתה להענקת הזכות בנכס בו מתגוררים הנתבעים, בלבד. על כן,  </w:t>
      </w:r>
      <w:r w:rsidRPr="00D62F0C">
        <w:rPr>
          <w:rFonts w:ascii="David" w:eastAsia="Calibri" w:hAnsi="David" w:cs="David"/>
          <w:sz w:val="24"/>
          <w:szCs w:val="24"/>
          <w:u w:val="single"/>
          <w:rtl/>
        </w:rPr>
        <w:t>נשאלת השאלה האם טעות זו מביאה לביטול ההסכם?</w:t>
      </w:r>
      <w:r w:rsidRPr="00D62F0C">
        <w:rPr>
          <w:rFonts w:ascii="David" w:eastAsia="Calibri" w:hAnsi="David" w:cs="David"/>
          <w:sz w:val="24"/>
          <w:szCs w:val="24"/>
          <w:rtl/>
        </w:rPr>
        <w:t xml:space="preserve"> את התשובה מצאתי בשלילה. </w:t>
      </w:r>
      <w:r w:rsidRPr="00D62F0C">
        <w:rPr>
          <w:rFonts w:ascii="David" w:eastAsia="Calibri" w:hAnsi="David" w:cs="David"/>
          <w:color w:val="030D18"/>
          <w:sz w:val="24"/>
          <w:szCs w:val="24"/>
          <w:rtl/>
        </w:rPr>
        <w:t>לשון החוק מבחינה בין התקשרות בחוזה עקב טעות של צד אחד כאשר הצד השני ידע על כך או היה עליו לדעת, לבין טעות של שני הצדדים להסכם</w:t>
      </w:r>
      <w:r w:rsidRPr="00D62F0C">
        <w:rPr>
          <w:rFonts w:ascii="Arial" w:eastAsia="Times New Roman" w:hAnsi="Arial" w:cs="David"/>
          <w:sz w:val="24"/>
          <w:szCs w:val="24"/>
          <w:rtl/>
        </w:rPr>
        <w:t>, כקבוע בסעיף 14 לחוק החוזים:</w:t>
      </w:r>
    </w:p>
    <w:p w:rsidR="00D62F0C" w:rsidRPr="00D62F0C" w:rsidRDefault="00D62F0C" w:rsidP="00D62F0C">
      <w:pPr>
        <w:spacing w:after="0" w:line="360" w:lineRule="auto"/>
        <w:ind w:left="1440" w:hanging="938"/>
        <w:contextualSpacing/>
        <w:jc w:val="both"/>
        <w:rPr>
          <w:rFonts w:ascii="Arial" w:eastAsia="Times New Roman" w:hAnsi="Arial" w:cs="David"/>
          <w:b/>
          <w:bCs/>
          <w:noProof/>
          <w:sz w:val="24"/>
          <w:szCs w:val="24"/>
        </w:rPr>
      </w:pPr>
      <w:r w:rsidRPr="00D62F0C">
        <w:rPr>
          <w:rFonts w:ascii="Arial" w:eastAsia="Times New Roman" w:hAnsi="Arial" w:cs="David"/>
          <w:b/>
          <w:bCs/>
          <w:noProof/>
          <w:sz w:val="24"/>
          <w:szCs w:val="24"/>
          <w:rtl/>
        </w:rPr>
        <w:t xml:space="preserve">"(א) </w:t>
      </w:r>
      <w:r w:rsidRPr="00D62F0C">
        <w:rPr>
          <w:rFonts w:ascii="Arial" w:eastAsia="Times New Roman" w:hAnsi="Arial" w:cs="David"/>
          <w:b/>
          <w:bCs/>
          <w:noProof/>
          <w:sz w:val="24"/>
          <w:szCs w:val="24"/>
          <w:rtl/>
        </w:rPr>
        <w:tab/>
        <w:t>מי שהתקשר בחוזה עקב טעות וניתן להניח שלולא הטעות לא היה מתקשר בחוזה והצד השני ידע או היה עליו לדעת על כך, רשאי לבטל את החוזה.</w:t>
      </w:r>
    </w:p>
    <w:p w:rsidR="00D62F0C" w:rsidRPr="00D62F0C" w:rsidRDefault="00D62F0C" w:rsidP="00D62F0C">
      <w:pPr>
        <w:spacing w:after="0" w:line="360" w:lineRule="auto"/>
        <w:ind w:left="1440" w:hanging="878"/>
        <w:contextualSpacing/>
        <w:jc w:val="both"/>
        <w:rPr>
          <w:rFonts w:ascii="Arial" w:eastAsia="Times New Roman" w:hAnsi="Arial" w:cs="David"/>
          <w:b/>
          <w:bCs/>
          <w:noProof/>
          <w:sz w:val="24"/>
          <w:szCs w:val="24"/>
        </w:rPr>
      </w:pPr>
      <w:r w:rsidRPr="00D62F0C">
        <w:rPr>
          <w:rFonts w:ascii="Arial" w:eastAsia="Times New Roman" w:hAnsi="Arial" w:cs="David"/>
          <w:b/>
          <w:bCs/>
          <w:noProof/>
          <w:sz w:val="24"/>
          <w:szCs w:val="24"/>
          <w:rtl/>
        </w:rPr>
        <w:t xml:space="preserve">(ב) </w:t>
      </w:r>
      <w:r w:rsidRPr="00D62F0C">
        <w:rPr>
          <w:rFonts w:ascii="Arial" w:eastAsia="Times New Roman" w:hAnsi="Arial" w:cs="David"/>
          <w:b/>
          <w:bCs/>
          <w:noProof/>
          <w:sz w:val="24"/>
          <w:szCs w:val="24"/>
          <w:rtl/>
        </w:rPr>
        <w:tab/>
        <w:t>מי שהתקשר בחוזה עקב טעות וניתן להניח שלולא הטעות לא היה מתקשר בחוזה והצד השני לא ידע ולא היה עליו לדעת על כך, רשאי בית המשפט, על פי בקשת הצד שטעה, לבטל את החוזה, אם ראה שמן הצדק לעשות זאת; עשה כן, רשאי בית המשפט לחייב את הצד שטעה בפיצויים בעד הנזק שנגרם לצד השני עקב כריתת החוזה.</w:t>
      </w:r>
    </w:p>
    <w:p w:rsidR="00D62F0C" w:rsidRPr="00D62F0C" w:rsidRDefault="00D62F0C" w:rsidP="00D62F0C">
      <w:pPr>
        <w:spacing w:after="0" w:line="360" w:lineRule="auto"/>
        <w:ind w:left="1440" w:hanging="938"/>
        <w:contextualSpacing/>
        <w:jc w:val="both"/>
        <w:rPr>
          <w:rFonts w:ascii="Arial" w:eastAsia="Times New Roman" w:hAnsi="Arial" w:cs="David"/>
          <w:b/>
          <w:bCs/>
          <w:noProof/>
          <w:sz w:val="24"/>
          <w:szCs w:val="24"/>
          <w:rtl/>
        </w:rPr>
      </w:pPr>
      <w:r w:rsidRPr="00D62F0C">
        <w:rPr>
          <w:rFonts w:ascii="Arial" w:eastAsia="Times New Roman" w:hAnsi="Arial" w:cs="David"/>
          <w:b/>
          <w:bCs/>
          <w:noProof/>
          <w:sz w:val="24"/>
          <w:szCs w:val="24"/>
          <w:rtl/>
        </w:rPr>
        <w:t xml:space="preserve">(ג) </w:t>
      </w:r>
      <w:r w:rsidRPr="00D62F0C">
        <w:rPr>
          <w:rFonts w:ascii="Arial" w:eastAsia="Times New Roman" w:hAnsi="Arial" w:cs="David"/>
          <w:b/>
          <w:bCs/>
          <w:noProof/>
          <w:sz w:val="24"/>
          <w:szCs w:val="24"/>
          <w:rtl/>
        </w:rPr>
        <w:tab/>
        <w:t>טעות אינה עילה לביטול החוזה לפי סעיף זה, אם ניתן לקיים את החוזה בתיקון הטעות והצד השני הודיע, לפני שבוטל החוזה, שהוא מוכן לעשות כן.</w:t>
      </w:r>
    </w:p>
    <w:p w:rsidR="00D62F0C" w:rsidRPr="00D62F0C" w:rsidRDefault="00D62F0C" w:rsidP="00D62F0C">
      <w:pPr>
        <w:spacing w:after="0" w:line="360" w:lineRule="auto"/>
        <w:ind w:left="1440" w:hanging="938"/>
        <w:contextualSpacing/>
        <w:jc w:val="both"/>
        <w:rPr>
          <w:rFonts w:ascii="Arial" w:eastAsia="Times New Roman" w:hAnsi="Arial" w:cs="David"/>
          <w:b/>
          <w:bCs/>
          <w:noProof/>
          <w:sz w:val="24"/>
          <w:szCs w:val="24"/>
          <w:rtl/>
        </w:rPr>
      </w:pPr>
      <w:r w:rsidRPr="00D62F0C">
        <w:rPr>
          <w:rFonts w:ascii="Arial" w:eastAsia="Times New Roman" w:hAnsi="Arial" w:cs="David"/>
          <w:b/>
          <w:bCs/>
          <w:noProof/>
          <w:sz w:val="24"/>
          <w:szCs w:val="24"/>
          <w:rtl/>
        </w:rPr>
        <w:t xml:space="preserve">(ד) </w:t>
      </w:r>
      <w:r w:rsidRPr="00D62F0C">
        <w:rPr>
          <w:rFonts w:ascii="Arial" w:eastAsia="Times New Roman" w:hAnsi="Arial" w:cs="David"/>
          <w:b/>
          <w:bCs/>
          <w:noProof/>
          <w:sz w:val="24"/>
          <w:szCs w:val="24"/>
          <w:rtl/>
        </w:rPr>
        <w:tab/>
        <w:t>"טעות", לענין סעיף זה וסעיף 15 - בין בעובדה ובין בחוק, להוציא טעות שאינה אלא בכדאיות העסקה."</w:t>
      </w:r>
    </w:p>
    <w:p w:rsidR="00D62F0C" w:rsidRPr="00D62F0C" w:rsidRDefault="00D62F0C" w:rsidP="00D62F0C">
      <w:pPr>
        <w:spacing w:after="0" w:line="360" w:lineRule="auto"/>
        <w:ind w:left="1440" w:hanging="938"/>
        <w:contextualSpacing/>
        <w:jc w:val="both"/>
        <w:rPr>
          <w:rFonts w:ascii="Arial" w:eastAsia="Times New Roman" w:hAnsi="Arial" w:cs="David"/>
          <w:b/>
          <w:bCs/>
          <w:noProof/>
          <w:sz w:val="24"/>
          <w:szCs w:val="24"/>
          <w:rtl/>
        </w:rPr>
      </w:pPr>
    </w:p>
    <w:p w:rsidR="00D62F0C" w:rsidRPr="00D62F0C" w:rsidRDefault="00D62F0C" w:rsidP="00D62F0C">
      <w:pPr>
        <w:numPr>
          <w:ilvl w:val="0"/>
          <w:numId w:val="1"/>
        </w:numPr>
        <w:spacing w:after="0" w:line="360" w:lineRule="auto"/>
        <w:contextualSpacing/>
        <w:jc w:val="both"/>
        <w:rPr>
          <w:rFonts w:ascii="David" w:eastAsia="Calibri" w:hAnsi="David" w:cs="David"/>
          <w:sz w:val="24"/>
          <w:szCs w:val="24"/>
          <w:rtl/>
        </w:rPr>
      </w:pPr>
      <w:r w:rsidRPr="00D62F0C">
        <w:rPr>
          <w:rFonts w:ascii="David" w:eastAsia="Calibri" w:hAnsi="David" w:cs="David"/>
          <w:sz w:val="24"/>
          <w:szCs w:val="24"/>
          <w:rtl/>
        </w:rPr>
        <w:lastRenderedPageBreak/>
        <w:t>לאחר ששמעתי את טענות הצדדים, התרשמתי שהנתבעים לא ידעו על הטעות בהסכם במועד כריתתו, על אף ניסיונם כיום לקבוע שהוראותיו מתייחסות לשתי הדירות; כפי שעולה אף מהגרסאות אותן מסרו, ההסכם מבוסס על התחייבות התובעת להחלפת הדירות והענקת הזכויות בה, ולא דובר על הענקת הזכויות בשתי הדירות. זאת ועוד, הנתבעים מעולם לא ביצעו כל פעולה בנכס השני, לא קיבלו בו חזקה, וזה נותר סגור, למן המועד שהאח שהתגורר בו עזב.  מכאן, עניינו בהוראות סעיף 14 (ב) לחוק.</w:t>
      </w:r>
    </w:p>
    <w:p w:rsidR="00D62F0C" w:rsidRPr="00D62F0C" w:rsidRDefault="00D62F0C" w:rsidP="00D62F0C">
      <w:pPr>
        <w:spacing w:line="240" w:lineRule="auto"/>
        <w:ind w:left="1080"/>
        <w:contextualSpacing/>
        <w:jc w:val="both"/>
        <w:rPr>
          <w:rFonts w:ascii="David" w:eastAsia="Calibri" w:hAnsi="David" w:cs="David"/>
          <w:b/>
          <w:bCs/>
          <w:sz w:val="24"/>
          <w:szCs w:val="24"/>
        </w:rPr>
      </w:pPr>
    </w:p>
    <w:p w:rsidR="00D62F0C" w:rsidRPr="00D62F0C" w:rsidRDefault="00D62F0C" w:rsidP="00D62F0C">
      <w:pPr>
        <w:numPr>
          <w:ilvl w:val="0"/>
          <w:numId w:val="1"/>
        </w:numPr>
        <w:spacing w:after="0" w:line="360" w:lineRule="auto"/>
        <w:contextualSpacing/>
        <w:jc w:val="both"/>
        <w:rPr>
          <w:rFonts w:ascii="David" w:eastAsia="Times New Roman" w:hAnsi="David" w:cs="David"/>
          <w:sz w:val="24"/>
          <w:szCs w:val="24"/>
          <w:rtl/>
        </w:rPr>
      </w:pPr>
      <w:r w:rsidRPr="00D62F0C">
        <w:rPr>
          <w:rFonts w:ascii="David" w:eastAsia="Calibri" w:hAnsi="David" w:cs="David"/>
          <w:color w:val="000000"/>
          <w:sz w:val="24"/>
          <w:szCs w:val="24"/>
          <w:rtl/>
        </w:rPr>
        <w:t xml:space="preserve">כידוע, בבואו של בית המשפט להכריע בבקשה לביטול הסכם מחמת טעות, יבחן באם הטעות היא העומדת בבסיס אותה התקשרות שאם לא כן, לא היה מתקשר בו העותר לביטולו. עוד יבחן בית המשפט את איזון האינטרסים של כלל הצדדים, ובאם "מן הצדק לעשות כן". </w:t>
      </w:r>
      <w:r w:rsidRPr="00D62F0C">
        <w:rPr>
          <w:rFonts w:ascii="David" w:eastAsia="Times New Roman" w:hAnsi="David" w:cs="David"/>
          <w:sz w:val="24"/>
          <w:szCs w:val="24"/>
          <w:rtl/>
        </w:rPr>
        <w:t xml:space="preserve">על פי הוראות החוק, לא די בקביעה ולפיה המתקשר טעה, גם באם מדובר בטעות יסודית, אלא על בית המשפט להתרשם שאותה טעות היא שגרמה לעותר הביטול להתקשר באותו הסכם. </w:t>
      </w:r>
      <w:r w:rsidRPr="00D62F0C">
        <w:rPr>
          <w:rFonts w:ascii="David" w:eastAsia="Calibri" w:hAnsi="David" w:cs="David"/>
          <w:sz w:val="24"/>
          <w:szCs w:val="24"/>
          <w:rtl/>
        </w:rPr>
        <w:t xml:space="preserve">ראה לעניין זה </w:t>
      </w:r>
      <w:hyperlink r:id="rId7" w:history="1">
        <w:r w:rsidRPr="00D62F0C">
          <w:rPr>
            <w:rFonts w:ascii="David" w:eastAsia="Calibri" w:hAnsi="David" w:cs="David"/>
            <w:color w:val="8587FF"/>
            <w:sz w:val="24"/>
            <w:szCs w:val="24"/>
            <w:u w:val="single"/>
            <w:rtl/>
          </w:rPr>
          <w:t>ע"א 1581/92 אברהם אבי ולנטין נ' דורית ולנטין</w:t>
        </w:r>
      </w:hyperlink>
      <w:r w:rsidRPr="00D62F0C">
        <w:rPr>
          <w:rFonts w:ascii="David" w:eastAsia="Calibri" w:hAnsi="David" w:cs="David"/>
          <w:sz w:val="24"/>
          <w:szCs w:val="24"/>
          <w:rtl/>
        </w:rPr>
        <w:t xml:space="preserve">, (פורסם בנבו, 13.04.1995): </w:t>
      </w:r>
      <w:r w:rsidRPr="00D62F0C">
        <w:rPr>
          <w:rFonts w:ascii="David" w:eastAsia="Calibri" w:hAnsi="David" w:cs="David"/>
          <w:b/>
          <w:bCs/>
          <w:color w:val="000000"/>
          <w:sz w:val="24"/>
          <w:szCs w:val="24"/>
          <w:rtl/>
        </w:rPr>
        <w:t>"מכנה משותף יש לטעות ולהטעיה בנקודת המוצא: אין מקום לדבר על טעות או על הטעיה, אלא אם אדם "התקשר בחוזה עקב טעות". משמע, החוק מציב תנאי כפול: ראשית, שהייתה טעות; שנית, שהטעות גרמה להתקשרות בחוזה. לפיכך צריך להקדים ולבדוק מה הייתה טעותו של המערער, ולאחר מכן להוסיף ולבדוק אם הוא התקשר בחוזה עם המשיבה עקב טעות זאת."</w:t>
      </w:r>
    </w:p>
    <w:p w:rsidR="00D62F0C" w:rsidRPr="00D62F0C" w:rsidRDefault="00D62F0C" w:rsidP="00D62F0C">
      <w:pPr>
        <w:spacing w:line="240" w:lineRule="auto"/>
        <w:ind w:left="720"/>
        <w:contextualSpacing/>
        <w:rPr>
          <w:rFonts w:ascii="David" w:eastAsia="Calibri" w:hAnsi="David" w:cs="David"/>
          <w:color w:val="030D18"/>
          <w:sz w:val="24"/>
          <w:szCs w:val="24"/>
        </w:rPr>
      </w:pPr>
    </w:p>
    <w:p w:rsidR="00D62F0C" w:rsidRPr="00D62F0C" w:rsidRDefault="00D62F0C" w:rsidP="00D62F0C">
      <w:pPr>
        <w:numPr>
          <w:ilvl w:val="0"/>
          <w:numId w:val="1"/>
        </w:numPr>
        <w:spacing w:after="0" w:line="360" w:lineRule="auto"/>
        <w:contextualSpacing/>
        <w:jc w:val="both"/>
        <w:rPr>
          <w:rFonts w:ascii="David" w:eastAsia="Calibri" w:hAnsi="David" w:cs="David"/>
          <w:sz w:val="24"/>
          <w:szCs w:val="24"/>
          <w:rtl/>
        </w:rPr>
      </w:pPr>
      <w:r w:rsidRPr="00D62F0C">
        <w:rPr>
          <w:rFonts w:ascii="David" w:eastAsia="Calibri" w:hAnsi="David" w:cs="David"/>
          <w:color w:val="000000"/>
          <w:sz w:val="24"/>
          <w:szCs w:val="24"/>
          <w:rtl/>
        </w:rPr>
        <w:t>וכך קבעה כבוד השופטת בן פורת  בבג"צ 221/86 [3], בעמ' 482-483 לענין השיקולים להם ידרש בית המשפט: "</w:t>
      </w:r>
      <w:r w:rsidRPr="00D62F0C">
        <w:rPr>
          <w:rFonts w:ascii="David" w:eastAsia="Calibri" w:hAnsi="David" w:cs="David"/>
          <w:b/>
          <w:bCs/>
          <w:color w:val="000000"/>
          <w:sz w:val="24"/>
          <w:szCs w:val="24"/>
          <w:rtl/>
        </w:rPr>
        <w:t>להפעלת סמכות הביטול לפי סעיף 14(ב) נדרש (כזכור), בין יתר התנאים, כי בית המשפט יראה, 'שמן הצדק לעשות זאת'. לשם כך על השופט לשקול את האינטרסים של שני בעלי הדין, את התוצאות האפשריות לכל אחד מהם, וכן את התנהגותם, לפני כריתת החוזה ולאחריהן". וכפי שמסבירה פרופ' ג' שלו בחיבורה "פגמים בכריתת חוזה" פירוש לחוקי החוזים (המכון למחקרי חקיקה ולמשפט השוואתי ע"ש הרי סאקר, ג' טדסקי עורך, תשמ"א) 47: "כדי להביא את בית המשפט לידי ביטול החוזה בגין טעות שאינה ידועה לצד השני, על הטועה לשכנע את בית המשפט כי שקלול מצב הצדדים ואיזון עמדותיהם ונסיבותיהם מצדיק ביטול. לשון אחר, העוול שיגרם לטועה אם ישאר קשור בחוזה בו התקשר עקב טעות, גדול מן העוול שיגרם לצד השני על ידי עצם הביטול"."</w:t>
      </w:r>
    </w:p>
    <w:p w:rsidR="00D62F0C" w:rsidRPr="00D62F0C" w:rsidRDefault="00D62F0C" w:rsidP="00D62F0C">
      <w:pPr>
        <w:spacing w:line="254" w:lineRule="auto"/>
        <w:ind w:left="720"/>
        <w:contextualSpacing/>
        <w:rPr>
          <w:rFonts w:ascii="David" w:eastAsia="Calibri" w:hAnsi="David" w:cs="David"/>
          <w:color w:val="030D18"/>
          <w:sz w:val="24"/>
          <w:szCs w:val="24"/>
        </w:rPr>
      </w:pPr>
    </w:p>
    <w:p w:rsidR="00D62F0C" w:rsidRPr="00D62F0C" w:rsidRDefault="00D62F0C" w:rsidP="00D62F0C">
      <w:pPr>
        <w:numPr>
          <w:ilvl w:val="0"/>
          <w:numId w:val="1"/>
        </w:numPr>
        <w:spacing w:after="0" w:line="360" w:lineRule="auto"/>
        <w:contextualSpacing/>
        <w:jc w:val="both"/>
        <w:rPr>
          <w:rFonts w:ascii="David" w:eastAsia="Calibri" w:hAnsi="David" w:cs="David"/>
          <w:b/>
          <w:bCs/>
          <w:sz w:val="24"/>
          <w:szCs w:val="24"/>
          <w:rtl/>
        </w:rPr>
      </w:pPr>
      <w:r w:rsidRPr="00D62F0C">
        <w:rPr>
          <w:rFonts w:ascii="David" w:eastAsia="Calibri" w:hAnsi="David" w:cs="David"/>
          <w:color w:val="030D18"/>
          <w:sz w:val="24"/>
          <w:szCs w:val="24"/>
          <w:rtl/>
        </w:rPr>
        <w:t>מכאן, ע</w:t>
      </w:r>
      <w:r w:rsidRPr="00D62F0C">
        <w:rPr>
          <w:rFonts w:ascii="David" w:eastAsia="Calibri" w:hAnsi="David" w:cs="David"/>
          <w:sz w:val="24"/>
          <w:szCs w:val="24"/>
          <w:rtl/>
        </w:rPr>
        <w:t xml:space="preserve">ילת </w:t>
      </w:r>
      <w:hyperlink r:id="rId8" w:history="1">
        <w:r w:rsidRPr="00D62F0C">
          <w:rPr>
            <w:rFonts w:ascii="David" w:eastAsia="Calibri" w:hAnsi="David" w:cs="David"/>
            <w:sz w:val="24"/>
            <w:szCs w:val="24"/>
            <w:rtl/>
          </w:rPr>
          <w:t>ביטול חוזה מחמת טעות</w:t>
        </w:r>
      </w:hyperlink>
      <w:r w:rsidRPr="00D62F0C">
        <w:rPr>
          <w:rFonts w:ascii="David" w:eastAsia="Calibri" w:hAnsi="David" w:cs="David"/>
          <w:sz w:val="24"/>
          <w:szCs w:val="24"/>
          <w:rtl/>
        </w:rPr>
        <w:t xml:space="preserve"> כוללת ארבעה יסודות מצטברים (ראה ג' שלו דיני חוזים – החלק הכללי (לקראת קודיפיקציה של המשפט האזרחי תשס"ה-2005) בעמ' 277)):</w:t>
      </w:r>
    </w:p>
    <w:p w:rsidR="00D62F0C" w:rsidRPr="00D62F0C" w:rsidRDefault="00D62F0C" w:rsidP="00D62F0C">
      <w:pPr>
        <w:numPr>
          <w:ilvl w:val="0"/>
          <w:numId w:val="3"/>
        </w:numPr>
        <w:spacing w:after="0" w:line="360" w:lineRule="auto"/>
        <w:contextualSpacing/>
        <w:jc w:val="both"/>
        <w:rPr>
          <w:rFonts w:ascii="David" w:eastAsia="Calibri" w:hAnsi="David" w:cs="David"/>
          <w:b/>
          <w:bCs/>
          <w:sz w:val="24"/>
          <w:szCs w:val="24"/>
        </w:rPr>
      </w:pPr>
      <w:r w:rsidRPr="00D62F0C">
        <w:rPr>
          <w:rFonts w:ascii="David" w:eastAsia="Calibri" w:hAnsi="David" w:cs="David"/>
          <w:color w:val="030D18"/>
          <w:sz w:val="24"/>
          <w:szCs w:val="24"/>
          <w:rtl/>
        </w:rPr>
        <w:t>קיומה של טעות</w:t>
      </w:r>
      <w:r w:rsidRPr="00D62F0C">
        <w:rPr>
          <w:rFonts w:ascii="David" w:eastAsia="Calibri" w:hAnsi="David" w:cs="David"/>
          <w:b/>
          <w:bCs/>
          <w:sz w:val="24"/>
          <w:szCs w:val="24"/>
          <w:rtl/>
        </w:rPr>
        <w:t>.</w:t>
      </w:r>
    </w:p>
    <w:p w:rsidR="00D62F0C" w:rsidRPr="00D62F0C" w:rsidRDefault="00D62F0C" w:rsidP="00D62F0C">
      <w:pPr>
        <w:numPr>
          <w:ilvl w:val="0"/>
          <w:numId w:val="3"/>
        </w:numPr>
        <w:spacing w:after="0" w:line="360" w:lineRule="auto"/>
        <w:contextualSpacing/>
        <w:jc w:val="both"/>
        <w:rPr>
          <w:rFonts w:ascii="David" w:eastAsia="Calibri" w:hAnsi="David" w:cs="David"/>
          <w:b/>
          <w:bCs/>
          <w:sz w:val="24"/>
          <w:szCs w:val="24"/>
        </w:rPr>
      </w:pPr>
      <w:r w:rsidRPr="00D62F0C">
        <w:rPr>
          <w:rFonts w:ascii="David" w:eastAsia="Calibri" w:hAnsi="David" w:cs="David"/>
          <w:sz w:val="24"/>
          <w:szCs w:val="24"/>
          <w:rtl/>
        </w:rPr>
        <w:t>קשר סיבתי בין הטעות ובין ההתקשרות בחוזה</w:t>
      </w:r>
      <w:r w:rsidRPr="00D62F0C">
        <w:rPr>
          <w:rFonts w:ascii="David" w:eastAsia="Calibri" w:hAnsi="David" w:cs="David"/>
          <w:b/>
          <w:bCs/>
          <w:sz w:val="24"/>
          <w:szCs w:val="24"/>
          <w:rtl/>
        </w:rPr>
        <w:t>.</w:t>
      </w:r>
    </w:p>
    <w:p w:rsidR="00D62F0C" w:rsidRPr="00D62F0C" w:rsidRDefault="00D62F0C" w:rsidP="00D62F0C">
      <w:pPr>
        <w:numPr>
          <w:ilvl w:val="0"/>
          <w:numId w:val="3"/>
        </w:numPr>
        <w:spacing w:after="0" w:line="360" w:lineRule="auto"/>
        <w:contextualSpacing/>
        <w:jc w:val="both"/>
        <w:rPr>
          <w:rFonts w:ascii="David" w:eastAsia="Calibri" w:hAnsi="David" w:cs="David"/>
          <w:b/>
          <w:bCs/>
          <w:sz w:val="24"/>
          <w:szCs w:val="24"/>
        </w:rPr>
      </w:pPr>
      <w:r w:rsidRPr="00D62F0C">
        <w:rPr>
          <w:rFonts w:ascii="David" w:eastAsia="Calibri" w:hAnsi="David" w:cs="David"/>
          <w:sz w:val="24"/>
          <w:szCs w:val="24"/>
          <w:rtl/>
        </w:rPr>
        <w:t xml:space="preserve">ניתן להניח שללא הטעות, המבקש את ביטול החוזה לא היה מתקשר בו. </w:t>
      </w:r>
    </w:p>
    <w:p w:rsidR="00D62F0C" w:rsidRPr="00D62F0C" w:rsidRDefault="00D62F0C" w:rsidP="00D62F0C">
      <w:pPr>
        <w:numPr>
          <w:ilvl w:val="0"/>
          <w:numId w:val="3"/>
        </w:numPr>
        <w:spacing w:after="0" w:line="360" w:lineRule="auto"/>
        <w:contextualSpacing/>
        <w:jc w:val="both"/>
        <w:rPr>
          <w:rFonts w:ascii="David" w:eastAsia="Calibri" w:hAnsi="David" w:cs="David"/>
          <w:b/>
          <w:bCs/>
          <w:sz w:val="24"/>
          <w:szCs w:val="24"/>
        </w:rPr>
      </w:pPr>
      <w:r w:rsidRPr="00D62F0C">
        <w:rPr>
          <w:rFonts w:ascii="David" w:eastAsia="Calibri" w:hAnsi="David" w:cs="David"/>
          <w:sz w:val="24"/>
          <w:szCs w:val="24"/>
          <w:rtl/>
        </w:rPr>
        <w:t>ידיעת הצד השני, או שהיה עליו לדעת על הטעות ועל יסודיותה של הטעות</w:t>
      </w:r>
      <w:r w:rsidRPr="00D62F0C">
        <w:rPr>
          <w:rFonts w:ascii="David" w:eastAsia="Calibri" w:hAnsi="David" w:cs="David"/>
          <w:b/>
          <w:bCs/>
          <w:sz w:val="24"/>
          <w:szCs w:val="24"/>
          <w:rtl/>
        </w:rPr>
        <w:t>.</w:t>
      </w:r>
    </w:p>
    <w:p w:rsidR="00D62F0C" w:rsidRPr="00D62F0C" w:rsidRDefault="00D62F0C" w:rsidP="00D62F0C">
      <w:pPr>
        <w:spacing w:line="360" w:lineRule="auto"/>
        <w:ind w:left="1080"/>
        <w:contextualSpacing/>
        <w:jc w:val="both"/>
        <w:rPr>
          <w:rFonts w:ascii="David" w:eastAsia="Calibri" w:hAnsi="David" w:cs="David"/>
          <w:b/>
          <w:bCs/>
          <w:sz w:val="24"/>
          <w:szCs w:val="24"/>
        </w:rPr>
      </w:pPr>
    </w:p>
    <w:p w:rsidR="00D62F0C" w:rsidRPr="00D62F0C" w:rsidRDefault="00D62F0C" w:rsidP="00D62F0C">
      <w:pPr>
        <w:numPr>
          <w:ilvl w:val="0"/>
          <w:numId w:val="1"/>
        </w:numPr>
        <w:spacing w:after="0" w:line="360" w:lineRule="auto"/>
        <w:contextualSpacing/>
        <w:jc w:val="both"/>
        <w:rPr>
          <w:rFonts w:ascii="David" w:eastAsia="Times New Roman" w:hAnsi="David" w:cs="David"/>
          <w:sz w:val="24"/>
          <w:szCs w:val="24"/>
        </w:rPr>
      </w:pPr>
      <w:r w:rsidRPr="00D62F0C">
        <w:rPr>
          <w:rFonts w:ascii="David" w:eastAsia="Times New Roman" w:hAnsi="David" w:cs="David"/>
          <w:sz w:val="24"/>
          <w:szCs w:val="24"/>
          <w:rtl/>
        </w:rPr>
        <w:lastRenderedPageBreak/>
        <w:t xml:space="preserve">לשון ההסכם בבחינת תיאור הנכס, כמפורט לעיל, בטעות; מכאן, במבחן השכל הישר, ברור שככל והתובעים היו מודעים לטעות בהסכם, לא היו מתקשרים בו. עובדה זו הינה בבחינת היפוך לדרישת החוק הקובעת שהטעות היא שגרמה להתקשרות בחוזה, ודי בכך בכדי להביא לדחיית הטענה לביטול ההסכם מחמת טעות. בנוסף, גם בבחינת העוול שיגרם לטועה, קרי לתובעים באם לא יבוטל החוזה, אל מול העוול שיגרם לנתבעים באם יבוטל, הכף נוטה לטובת הנתבעים; הצדדים שניהם, נוהגים בהתאם להוראות ההסכם משך שנים רבות אף עובר לכריתתו, וזאת ביחס לדירה אחת, בהתאם לכוונתם. על כן, ביטול ההסכם כיום, נוכח הטעות, תביא לפגיעה בלתי מידתית בנתבעים, באינטרס ההסתמכות ובהשקעה שהשקיעו בנכס משך השנים, ומנגד תביא לשיפור במצב התובעים, על אף שהתכוונו להעניק את הזכויות לנתבעים.  </w:t>
      </w:r>
    </w:p>
    <w:p w:rsidR="00D62F0C" w:rsidRPr="00D62F0C" w:rsidRDefault="00D62F0C" w:rsidP="00D62F0C">
      <w:pPr>
        <w:spacing w:line="254" w:lineRule="auto"/>
        <w:ind w:left="720"/>
        <w:contextualSpacing/>
        <w:rPr>
          <w:rFonts w:ascii="David" w:eastAsia="Times New Roman" w:hAnsi="David" w:cs="David"/>
          <w:sz w:val="24"/>
          <w:szCs w:val="24"/>
        </w:rPr>
      </w:pPr>
    </w:p>
    <w:p w:rsidR="00D62F0C" w:rsidRPr="00D62F0C" w:rsidRDefault="00D62F0C" w:rsidP="00D62F0C">
      <w:pPr>
        <w:numPr>
          <w:ilvl w:val="0"/>
          <w:numId w:val="1"/>
        </w:numPr>
        <w:spacing w:after="0" w:line="360" w:lineRule="auto"/>
        <w:contextualSpacing/>
        <w:jc w:val="both"/>
        <w:rPr>
          <w:rFonts w:ascii="David" w:eastAsia="Times New Roman" w:hAnsi="David" w:cs="David"/>
          <w:sz w:val="24"/>
          <w:szCs w:val="24"/>
          <w:rtl/>
        </w:rPr>
      </w:pPr>
      <w:r w:rsidRPr="00D62F0C">
        <w:rPr>
          <w:rFonts w:ascii="David" w:eastAsia="Times New Roman" w:hAnsi="David" w:cs="David"/>
          <w:sz w:val="24"/>
          <w:szCs w:val="24"/>
          <w:rtl/>
        </w:rPr>
        <w:t>יתר על כן, לא אחת נקבע ש</w:t>
      </w:r>
      <w:r w:rsidRPr="00D62F0C">
        <w:rPr>
          <w:rFonts w:ascii="Arial" w:eastAsia="Times New Roman" w:hAnsi="Arial" w:cs="David"/>
          <w:sz w:val="24"/>
          <w:szCs w:val="24"/>
          <w:rtl/>
        </w:rPr>
        <w:t>ראוי להעדיף את הפירוש המקיים את המתנה על פני זה המביא לביטולה  (ראה ע"א 36/86 מני ואח' נ' מני, פ"ד מא(1)248, 251) ופסק דינו של כב' השופט ויצמן בתמ"ש (כ"ס) 9960/06 א.מ. נ' ב. מ. (פורסם במאגרים האלקטרוניים).</w:t>
      </w:r>
      <w:r w:rsidRPr="00D62F0C">
        <w:rPr>
          <w:rFonts w:ascii="David" w:eastAsia="Times New Roman" w:hAnsi="David" w:cs="David"/>
          <w:sz w:val="24"/>
          <w:szCs w:val="24"/>
          <w:rtl/>
        </w:rPr>
        <w:t xml:space="preserve"> כמפורט בקביעותי לעיל, התרשמתי ללא כל ספק שהתובעים התקשרו בהסכם מרצון, תוך גמירות דעת, ומתוך כוונה וידיעה שהזכויות בנכס יועברו על שם הנתבע. מכאן, מקום בו ניתן להורות על תיקון הטעות, יש להעדיף את קיום החוזה, בפרט מקום בו הוראותיו קויימו בפועל, והצדדים פועלים בהתאם להן משך שנים רבות. </w:t>
      </w:r>
    </w:p>
    <w:p w:rsidR="00D62F0C" w:rsidRPr="00D62F0C" w:rsidRDefault="00D62F0C" w:rsidP="00D62F0C">
      <w:pPr>
        <w:spacing w:line="254" w:lineRule="auto"/>
        <w:ind w:left="720"/>
        <w:contextualSpacing/>
        <w:rPr>
          <w:rFonts w:ascii="David" w:eastAsia="Times New Roman" w:hAnsi="David" w:cs="David"/>
          <w:sz w:val="24"/>
          <w:szCs w:val="24"/>
        </w:rPr>
      </w:pPr>
    </w:p>
    <w:p w:rsidR="00D62F0C" w:rsidRPr="00D62F0C" w:rsidRDefault="00D62F0C" w:rsidP="00D62F0C">
      <w:pPr>
        <w:numPr>
          <w:ilvl w:val="0"/>
          <w:numId w:val="1"/>
        </w:numPr>
        <w:spacing w:after="0" w:line="360" w:lineRule="auto"/>
        <w:contextualSpacing/>
        <w:jc w:val="both"/>
        <w:rPr>
          <w:rFonts w:ascii="David" w:eastAsia="Times New Roman" w:hAnsi="David" w:cs="David"/>
          <w:sz w:val="24"/>
          <w:szCs w:val="24"/>
          <w:rtl/>
        </w:rPr>
      </w:pPr>
      <w:r w:rsidRPr="00D62F0C">
        <w:rPr>
          <w:rFonts w:ascii="David" w:eastAsia="Times New Roman" w:hAnsi="David" w:cs="David"/>
          <w:sz w:val="24"/>
          <w:szCs w:val="24"/>
          <w:rtl/>
        </w:rPr>
        <w:t>מכל האמור לעיל, מצאתי לדחות את כלל טענות התובעים לעניין היעדר תוקפו של ההסכם, ולקבוע שהמדובר בהסכם בר תוקף.</w:t>
      </w:r>
    </w:p>
    <w:p w:rsidR="00D62F0C" w:rsidRPr="00D62F0C" w:rsidRDefault="00D62F0C" w:rsidP="00D62F0C">
      <w:pPr>
        <w:spacing w:after="0" w:line="240" w:lineRule="auto"/>
        <w:rPr>
          <w:rFonts w:ascii="David" w:eastAsia="Times New Roman" w:hAnsi="David" w:cs="David"/>
          <w:noProof/>
          <w:sz w:val="24"/>
          <w:szCs w:val="24"/>
        </w:rPr>
      </w:pPr>
    </w:p>
    <w:p w:rsidR="00D62F0C" w:rsidRPr="00D62F0C" w:rsidRDefault="00D62F0C" w:rsidP="00D62F0C">
      <w:pPr>
        <w:spacing w:after="0" w:line="360" w:lineRule="auto"/>
        <w:jc w:val="both"/>
        <w:rPr>
          <w:rFonts w:ascii="Arial" w:eastAsia="Times New Roman" w:hAnsi="Arial" w:cs="David"/>
          <w:b/>
          <w:bCs/>
          <w:noProof/>
          <w:sz w:val="28"/>
          <w:szCs w:val="28"/>
          <w:u w:val="single"/>
          <w:rtl/>
        </w:rPr>
      </w:pPr>
      <w:r w:rsidRPr="00D62F0C">
        <w:rPr>
          <w:rFonts w:ascii="Arial" w:eastAsia="Times New Roman" w:hAnsi="Arial" w:cs="David"/>
          <w:b/>
          <w:bCs/>
          <w:noProof/>
          <w:sz w:val="28"/>
          <w:szCs w:val="28"/>
          <w:u w:val="single"/>
          <w:rtl/>
        </w:rPr>
        <w:t>האם מדובר בהתחייבות להענקת מתנה או במתנה מוגמרת?</w:t>
      </w:r>
    </w:p>
    <w:p w:rsidR="00D62F0C" w:rsidRPr="00D62F0C" w:rsidRDefault="00D62F0C" w:rsidP="00D62F0C">
      <w:pPr>
        <w:spacing w:after="0" w:line="240" w:lineRule="auto"/>
        <w:jc w:val="both"/>
        <w:rPr>
          <w:rFonts w:ascii="Arial" w:eastAsia="Times New Roman" w:hAnsi="Arial" w:cs="David"/>
          <w:noProof/>
          <w:sz w:val="24"/>
          <w:szCs w:val="24"/>
          <w:rtl/>
        </w:rPr>
      </w:pPr>
    </w:p>
    <w:p w:rsidR="00D62F0C" w:rsidRPr="00D62F0C" w:rsidRDefault="00D62F0C" w:rsidP="00D62F0C">
      <w:pPr>
        <w:numPr>
          <w:ilvl w:val="0"/>
          <w:numId w:val="1"/>
        </w:numPr>
        <w:spacing w:after="0" w:line="360" w:lineRule="auto"/>
        <w:contextualSpacing/>
        <w:jc w:val="both"/>
        <w:rPr>
          <w:rFonts w:ascii="Arial" w:eastAsia="Times New Roman" w:hAnsi="Arial" w:cs="David"/>
          <w:noProof/>
          <w:sz w:val="24"/>
          <w:szCs w:val="24"/>
        </w:rPr>
      </w:pPr>
      <w:r w:rsidRPr="00D62F0C">
        <w:rPr>
          <w:rFonts w:ascii="Times New Roman" w:eastAsia="Times New Roman" w:hAnsi="Times New Roman" w:cs="David"/>
          <w:noProof/>
          <w:sz w:val="24"/>
          <w:szCs w:val="24"/>
          <w:rtl/>
        </w:rPr>
        <w:t xml:space="preserve"> חוק המתנה, תשכ"ח-1968</w:t>
      </w:r>
      <w:r w:rsidRPr="00D62F0C">
        <w:rPr>
          <w:rFonts w:ascii="Times New Roman" w:eastAsia="Times New Roman" w:hAnsi="Times New Roman" w:cs="David"/>
          <w:b/>
          <w:bCs/>
          <w:noProof/>
          <w:sz w:val="24"/>
          <w:szCs w:val="24"/>
          <w:rtl/>
        </w:rPr>
        <w:t xml:space="preserve"> (</w:t>
      </w:r>
      <w:r w:rsidRPr="00D62F0C">
        <w:rPr>
          <w:rFonts w:ascii="Times New Roman" w:eastAsia="Times New Roman" w:hAnsi="Times New Roman" w:cs="David"/>
          <w:noProof/>
          <w:sz w:val="24"/>
          <w:szCs w:val="24"/>
          <w:rtl/>
        </w:rPr>
        <w:t xml:space="preserve">להלן: </w:t>
      </w:r>
      <w:r w:rsidRPr="00D62F0C">
        <w:rPr>
          <w:rFonts w:ascii="Times New Roman" w:eastAsia="Times New Roman" w:hAnsi="Times New Roman" w:cs="David"/>
          <w:b/>
          <w:bCs/>
          <w:noProof/>
          <w:sz w:val="24"/>
          <w:szCs w:val="24"/>
          <w:rtl/>
        </w:rPr>
        <w:t xml:space="preserve">"חוק המתנה")  </w:t>
      </w:r>
      <w:r w:rsidRPr="00D62F0C">
        <w:rPr>
          <w:rFonts w:ascii="Times New Roman" w:eastAsia="Times New Roman" w:hAnsi="Times New Roman" w:cs="David"/>
          <w:noProof/>
          <w:sz w:val="24"/>
          <w:szCs w:val="24"/>
          <w:rtl/>
        </w:rPr>
        <w:t>הצריך בעניינו קובע כדלקמן</w:t>
      </w:r>
      <w:r w:rsidRPr="00D62F0C">
        <w:rPr>
          <w:rFonts w:ascii="Times New Roman" w:eastAsia="Times New Roman" w:hAnsi="Times New Roman" w:cs="David"/>
          <w:b/>
          <w:bCs/>
          <w:noProof/>
          <w:sz w:val="24"/>
          <w:szCs w:val="24"/>
          <w:rtl/>
        </w:rPr>
        <w:t xml:space="preserve">:  </w:t>
      </w:r>
    </w:p>
    <w:p w:rsidR="00D62F0C" w:rsidRPr="00D62F0C" w:rsidRDefault="00D62F0C" w:rsidP="00D62F0C">
      <w:pPr>
        <w:spacing w:after="0" w:line="360" w:lineRule="auto"/>
        <w:ind w:left="360" w:firstLine="360"/>
        <w:contextualSpacing/>
        <w:jc w:val="both"/>
        <w:rPr>
          <w:rFonts w:ascii="Times New Roman" w:eastAsia="Times New Roman" w:hAnsi="Times New Roman" w:cs="David"/>
          <w:b/>
          <w:bCs/>
          <w:noProof/>
          <w:sz w:val="24"/>
          <w:szCs w:val="24"/>
          <w:rtl/>
        </w:rPr>
      </w:pPr>
      <w:r w:rsidRPr="00D62F0C">
        <w:rPr>
          <w:rFonts w:ascii="Times New Roman" w:eastAsia="Times New Roman" w:hAnsi="Times New Roman" w:cs="David"/>
          <w:b/>
          <w:bCs/>
          <w:noProof/>
          <w:sz w:val="24"/>
          <w:szCs w:val="24"/>
          <w:rtl/>
        </w:rPr>
        <w:t xml:space="preserve">"1. מהות המתנה- </w:t>
      </w:r>
    </w:p>
    <w:p w:rsidR="00D62F0C" w:rsidRPr="00D62F0C" w:rsidRDefault="00D62F0C" w:rsidP="00D62F0C">
      <w:pPr>
        <w:spacing w:after="0" w:line="360" w:lineRule="auto"/>
        <w:ind w:left="1080" w:firstLine="360"/>
        <w:contextualSpacing/>
        <w:jc w:val="both"/>
        <w:rPr>
          <w:rFonts w:ascii="Arial" w:eastAsia="Times New Roman" w:hAnsi="Arial" w:cs="David"/>
          <w:noProof/>
          <w:sz w:val="24"/>
          <w:szCs w:val="24"/>
        </w:rPr>
      </w:pPr>
      <w:r w:rsidRPr="00D62F0C">
        <w:rPr>
          <w:rFonts w:ascii="Times New Roman" w:eastAsia="Times New Roman" w:hAnsi="Times New Roman" w:cs="David"/>
          <w:noProof/>
          <w:sz w:val="24"/>
          <w:szCs w:val="24"/>
          <w:rtl/>
        </w:rPr>
        <w:t>(א) מתנה היא הקניית נכס שלא בתמורה.</w:t>
      </w:r>
    </w:p>
    <w:p w:rsidR="00D62F0C" w:rsidRPr="00D62F0C" w:rsidRDefault="00D62F0C" w:rsidP="00D62F0C">
      <w:pPr>
        <w:spacing w:after="0" w:line="360" w:lineRule="auto"/>
        <w:ind w:left="720" w:firstLine="720"/>
        <w:contextualSpacing/>
        <w:jc w:val="both"/>
        <w:rPr>
          <w:rFonts w:ascii="Arial" w:eastAsia="Times New Roman" w:hAnsi="Arial" w:cs="David"/>
          <w:noProof/>
          <w:sz w:val="24"/>
          <w:szCs w:val="24"/>
          <w:rtl/>
        </w:rPr>
      </w:pPr>
      <w:r w:rsidRPr="00D62F0C">
        <w:rPr>
          <w:rFonts w:ascii="Times New Roman" w:eastAsia="Times New Roman" w:hAnsi="Times New Roman" w:cs="David"/>
          <w:noProof/>
          <w:sz w:val="24"/>
          <w:szCs w:val="24"/>
          <w:rtl/>
        </w:rPr>
        <w:t>(ב)דבר-המתנה יכול שיהיה מקרקעין, מטלטלין או זכויות.</w:t>
      </w:r>
    </w:p>
    <w:p w:rsidR="00D62F0C" w:rsidRPr="00D62F0C" w:rsidRDefault="00D62F0C" w:rsidP="00D62F0C">
      <w:pPr>
        <w:spacing w:after="0" w:line="360" w:lineRule="auto"/>
        <w:ind w:left="1440"/>
        <w:contextualSpacing/>
        <w:jc w:val="both"/>
        <w:rPr>
          <w:rFonts w:ascii="Times New Roman" w:eastAsia="Times New Roman" w:hAnsi="Times New Roman" w:cs="David"/>
          <w:noProof/>
          <w:sz w:val="24"/>
          <w:szCs w:val="24"/>
          <w:rtl/>
        </w:rPr>
      </w:pPr>
      <w:r w:rsidRPr="00D62F0C">
        <w:rPr>
          <w:rFonts w:ascii="Times New Roman" w:eastAsia="Times New Roman" w:hAnsi="Times New Roman" w:cs="David"/>
          <w:noProof/>
          <w:sz w:val="24"/>
          <w:szCs w:val="24"/>
          <w:rtl/>
        </w:rPr>
        <w:t>(ג)..</w:t>
      </w:r>
    </w:p>
    <w:p w:rsidR="00D62F0C" w:rsidRPr="00D62F0C" w:rsidRDefault="00D62F0C" w:rsidP="00D62F0C">
      <w:pPr>
        <w:spacing w:after="0" w:line="240" w:lineRule="auto"/>
        <w:ind w:left="1440"/>
        <w:contextualSpacing/>
        <w:jc w:val="both"/>
        <w:rPr>
          <w:rFonts w:ascii="Times New Roman" w:eastAsia="Times New Roman" w:hAnsi="Times New Roman" w:cs="David"/>
          <w:noProof/>
          <w:sz w:val="24"/>
          <w:szCs w:val="24"/>
          <w:rtl/>
        </w:rPr>
      </w:pPr>
    </w:p>
    <w:p w:rsidR="00D62F0C" w:rsidRPr="00D62F0C" w:rsidRDefault="00D62F0C" w:rsidP="00D62F0C">
      <w:pPr>
        <w:numPr>
          <w:ilvl w:val="0"/>
          <w:numId w:val="1"/>
        </w:numPr>
        <w:spacing w:after="0" w:line="360" w:lineRule="auto"/>
        <w:contextualSpacing/>
        <w:jc w:val="both"/>
        <w:rPr>
          <w:rFonts w:ascii="David" w:eastAsia="Calibri" w:hAnsi="David" w:cs="David"/>
          <w:b/>
          <w:bCs/>
          <w:sz w:val="24"/>
          <w:szCs w:val="24"/>
          <w:rtl/>
        </w:rPr>
      </w:pPr>
      <w:r w:rsidRPr="00D62F0C">
        <w:rPr>
          <w:rFonts w:ascii="David" w:eastAsia="Calibri" w:hAnsi="David" w:cs="David"/>
          <w:b/>
          <w:bCs/>
          <w:sz w:val="24"/>
          <w:szCs w:val="24"/>
          <w:rtl/>
        </w:rPr>
        <w:t xml:space="preserve">סעיף 2  לחוק </w:t>
      </w:r>
      <w:r w:rsidRPr="00D62F0C">
        <w:rPr>
          <w:rFonts w:ascii="David" w:eastAsia="Calibri" w:hAnsi="David" w:cs="David"/>
          <w:sz w:val="24"/>
          <w:szCs w:val="24"/>
          <w:rtl/>
        </w:rPr>
        <w:t xml:space="preserve">המתנה שעניינו </w:t>
      </w:r>
      <w:r w:rsidRPr="00D62F0C">
        <w:rPr>
          <w:rFonts w:ascii="David" w:eastAsia="Calibri" w:hAnsi="David" w:cs="David"/>
          <w:b/>
          <w:bCs/>
          <w:sz w:val="24"/>
          <w:szCs w:val="24"/>
          <w:rtl/>
        </w:rPr>
        <w:t xml:space="preserve">"מתנה לאלתר" </w:t>
      </w:r>
      <w:r w:rsidRPr="00D62F0C">
        <w:rPr>
          <w:rFonts w:ascii="David" w:eastAsia="Calibri" w:hAnsi="David" w:cs="David"/>
          <w:sz w:val="24"/>
          <w:szCs w:val="24"/>
          <w:rtl/>
        </w:rPr>
        <w:t xml:space="preserve">קובע כי </w:t>
      </w:r>
      <w:r w:rsidRPr="00D62F0C">
        <w:rPr>
          <w:rFonts w:ascii="David" w:eastAsia="Calibri" w:hAnsi="David" w:cs="David"/>
          <w:b/>
          <w:bCs/>
          <w:sz w:val="24"/>
          <w:szCs w:val="24"/>
          <w:rtl/>
        </w:rPr>
        <w:t>"מתנה נגמרת בהקניית דבר-המתנה על-ידי הנותן למקבל תוך הסכמה ביניהם שהדבר ניתן במתנה</w:t>
      </w:r>
      <w:r w:rsidRPr="00D62F0C">
        <w:rPr>
          <w:rFonts w:ascii="David" w:eastAsia="Calibri" w:hAnsi="David" w:cs="David"/>
          <w:sz w:val="24"/>
          <w:szCs w:val="24"/>
          <w:rtl/>
        </w:rPr>
        <w:t>". הדרכים להקניית המתנה קבועות</w:t>
      </w:r>
      <w:r w:rsidRPr="00D62F0C">
        <w:rPr>
          <w:rFonts w:ascii="David" w:eastAsia="Calibri" w:hAnsi="David" w:cs="David"/>
          <w:b/>
          <w:bCs/>
          <w:sz w:val="24"/>
          <w:szCs w:val="24"/>
          <w:rtl/>
        </w:rPr>
        <w:t xml:space="preserve"> בסעיף 6 לחוק המתנה, </w:t>
      </w:r>
      <w:r w:rsidRPr="00D62F0C">
        <w:rPr>
          <w:rFonts w:ascii="David" w:eastAsia="Calibri" w:hAnsi="David" w:cs="David"/>
          <w:sz w:val="24"/>
          <w:szCs w:val="24"/>
          <w:rtl/>
        </w:rPr>
        <w:t>ואלה קובעות שככל וקיימת בדין הוראה מיוחדת</w:t>
      </w:r>
      <w:r w:rsidRPr="00D62F0C">
        <w:rPr>
          <w:rFonts w:ascii="David" w:eastAsia="Calibri" w:hAnsi="David" w:cs="David"/>
          <w:b/>
          <w:bCs/>
          <w:sz w:val="24"/>
          <w:szCs w:val="24"/>
          <w:rtl/>
        </w:rPr>
        <w:t xml:space="preserve"> </w:t>
      </w:r>
      <w:r w:rsidRPr="00D62F0C">
        <w:rPr>
          <w:rFonts w:ascii="David" w:eastAsia="Calibri" w:hAnsi="David" w:cs="David"/>
          <w:sz w:val="24"/>
          <w:szCs w:val="24"/>
          <w:rtl/>
        </w:rPr>
        <w:t>באופן ההקנייה, זו תגבר.</w:t>
      </w:r>
      <w:r w:rsidRPr="00D62F0C">
        <w:rPr>
          <w:rFonts w:ascii="David" w:eastAsia="Calibri" w:hAnsi="David" w:cs="David"/>
          <w:b/>
          <w:bCs/>
          <w:sz w:val="24"/>
          <w:szCs w:val="24"/>
          <w:rtl/>
        </w:rPr>
        <w:t xml:space="preserve"> </w:t>
      </w:r>
      <w:r w:rsidRPr="00D62F0C">
        <w:rPr>
          <w:rFonts w:ascii="David" w:eastAsia="Calibri" w:hAnsi="David" w:cs="David"/>
          <w:sz w:val="24"/>
          <w:szCs w:val="24"/>
          <w:rtl/>
        </w:rPr>
        <w:t>כקבוע בסעיף</w:t>
      </w:r>
      <w:r w:rsidRPr="00D62F0C">
        <w:rPr>
          <w:rFonts w:ascii="David" w:eastAsia="Calibri" w:hAnsi="David" w:cs="David"/>
          <w:b/>
          <w:bCs/>
          <w:sz w:val="24"/>
          <w:szCs w:val="24"/>
          <w:rtl/>
        </w:rPr>
        <w:t>: "בעלות בדבר-המתנה עוברת למקבל במסירת הדבר לידו, או במסירת מסמך לידו המזכה אותו לקבלו, ואם היה הדבר ברשות המקבל – בהודעת הנותן למקבל על המתנה; והכל כשאין בדין אחר הוראות מיוחדות לענין הנדון."</w:t>
      </w:r>
    </w:p>
    <w:p w:rsidR="00D62F0C" w:rsidRPr="00D62F0C" w:rsidRDefault="00D62F0C" w:rsidP="00D62F0C">
      <w:pPr>
        <w:spacing w:line="240" w:lineRule="auto"/>
        <w:ind w:left="360"/>
        <w:contextualSpacing/>
        <w:jc w:val="both"/>
        <w:rPr>
          <w:rFonts w:ascii="David" w:eastAsia="Calibri" w:hAnsi="David" w:cs="David"/>
          <w:b/>
          <w:bCs/>
          <w:sz w:val="24"/>
          <w:szCs w:val="24"/>
        </w:rPr>
      </w:pPr>
    </w:p>
    <w:p w:rsidR="00D62F0C" w:rsidRPr="00D62F0C" w:rsidRDefault="00D62F0C" w:rsidP="00D62F0C">
      <w:pPr>
        <w:numPr>
          <w:ilvl w:val="0"/>
          <w:numId w:val="1"/>
        </w:numPr>
        <w:spacing w:after="0" w:line="360" w:lineRule="auto"/>
        <w:contextualSpacing/>
        <w:jc w:val="both"/>
        <w:rPr>
          <w:rFonts w:ascii="David" w:eastAsia="Calibri" w:hAnsi="David" w:cs="David"/>
          <w:b/>
          <w:bCs/>
          <w:sz w:val="24"/>
          <w:szCs w:val="24"/>
        </w:rPr>
      </w:pPr>
      <w:r w:rsidRPr="00D62F0C">
        <w:rPr>
          <w:rFonts w:ascii="David" w:eastAsia="Calibri" w:hAnsi="David" w:cs="David"/>
          <w:sz w:val="24"/>
          <w:szCs w:val="24"/>
          <w:rtl/>
        </w:rPr>
        <w:lastRenderedPageBreak/>
        <w:t>בעסקה במקרקעין, כבעניינו, לאור הוראת סעיף 6 לחוק המתנה ושעה שקיימת הוראה מיוחדת בדין, הקנייתה תהא ברישום</w:t>
      </w:r>
      <w:r w:rsidRPr="00D62F0C">
        <w:rPr>
          <w:rFonts w:ascii="David" w:eastAsia="Calibri" w:hAnsi="David" w:cs="David"/>
          <w:b/>
          <w:bCs/>
          <w:sz w:val="24"/>
          <w:szCs w:val="24"/>
          <w:rtl/>
        </w:rPr>
        <w:t xml:space="preserve"> </w:t>
      </w:r>
      <w:r w:rsidRPr="00D62F0C">
        <w:rPr>
          <w:rFonts w:ascii="David" w:eastAsia="Calibri" w:hAnsi="David" w:cs="David"/>
          <w:sz w:val="24"/>
          <w:szCs w:val="24"/>
          <w:rtl/>
        </w:rPr>
        <w:t>(ראו, מבין רבים, ע"א 7323/18 סאמר מוחמד בשאר נ' עומר חסן בשר  נבו); ע"א 588/81 ציזיק נ' הורוביץ, פ"ד מ(1)321, 324-323 (1986); בע"מ 3996/12 פלוני נ' פלונית [נבו] (15.11.2012); ע"א 879/14 נחשון נ' נחשון [נבו] (5.5.2016)).</w:t>
      </w:r>
      <w:r w:rsidRPr="00D62F0C">
        <w:rPr>
          <w:rFonts w:ascii="David" w:eastAsia="Calibri" w:hAnsi="David" w:cs="Arial"/>
          <w:rtl/>
        </w:rPr>
        <w:t xml:space="preserve"> </w:t>
      </w:r>
      <w:r w:rsidRPr="00D62F0C">
        <w:rPr>
          <w:rFonts w:ascii="David" w:eastAsia="Calibri" w:hAnsi="David" w:cs="David"/>
          <w:sz w:val="24"/>
          <w:szCs w:val="24"/>
          <w:rtl/>
        </w:rPr>
        <w:t>וזו לשון</w:t>
      </w:r>
      <w:r w:rsidRPr="00D62F0C">
        <w:rPr>
          <w:rFonts w:ascii="David" w:eastAsia="Calibri" w:hAnsi="David" w:cs="David"/>
          <w:b/>
          <w:bCs/>
          <w:sz w:val="24"/>
          <w:szCs w:val="24"/>
          <w:rtl/>
        </w:rPr>
        <w:t xml:space="preserve"> </w:t>
      </w:r>
      <w:r w:rsidRPr="00D62F0C">
        <w:rPr>
          <w:rFonts w:ascii="David" w:eastAsia="Calibri" w:hAnsi="David" w:cs="David"/>
          <w:sz w:val="24"/>
          <w:szCs w:val="24"/>
          <w:rtl/>
        </w:rPr>
        <w:t>הוראת</w:t>
      </w:r>
      <w:r w:rsidRPr="00D62F0C">
        <w:rPr>
          <w:rFonts w:ascii="David" w:eastAsia="Calibri" w:hAnsi="David" w:cs="David"/>
          <w:b/>
          <w:bCs/>
          <w:sz w:val="24"/>
          <w:szCs w:val="24"/>
          <w:rtl/>
        </w:rPr>
        <w:t xml:space="preserve"> סעיף 7 לחוק המקרקעין התשכ"ט-1969 (להלן: "חוק המקרקעין") </w:t>
      </w:r>
      <w:r w:rsidRPr="00D62F0C">
        <w:rPr>
          <w:rFonts w:ascii="David" w:eastAsia="Calibri" w:hAnsi="David" w:cs="David"/>
          <w:sz w:val="24"/>
          <w:szCs w:val="24"/>
          <w:rtl/>
        </w:rPr>
        <w:t>בדבר הקנייה במקרקעין:</w:t>
      </w:r>
    </w:p>
    <w:p w:rsidR="00D62F0C" w:rsidRPr="00D62F0C" w:rsidRDefault="00D62F0C" w:rsidP="00D62F0C">
      <w:pPr>
        <w:spacing w:line="360" w:lineRule="auto"/>
        <w:ind w:left="360"/>
        <w:contextualSpacing/>
        <w:jc w:val="both"/>
        <w:rPr>
          <w:rFonts w:ascii="David" w:eastAsia="Calibri" w:hAnsi="David" w:cs="David"/>
          <w:b/>
          <w:bCs/>
          <w:sz w:val="24"/>
          <w:szCs w:val="24"/>
          <w:rtl/>
        </w:rPr>
      </w:pPr>
      <w:r w:rsidRPr="00D62F0C">
        <w:rPr>
          <w:rFonts w:ascii="David" w:eastAsia="Calibri" w:hAnsi="David" w:cs="David"/>
          <w:b/>
          <w:bCs/>
          <w:sz w:val="24"/>
          <w:szCs w:val="24"/>
          <w:rtl/>
        </w:rPr>
        <w:t xml:space="preserve">"7. (א) עסקה במקרקעין טעונה רישום; העסקה נגמרת ברישום, ורואים את השעה שבה אישר </w:t>
      </w:r>
    </w:p>
    <w:p w:rsidR="00D62F0C" w:rsidRPr="00D62F0C" w:rsidRDefault="00D62F0C" w:rsidP="00D62F0C">
      <w:pPr>
        <w:spacing w:line="360" w:lineRule="auto"/>
        <w:ind w:left="360"/>
        <w:contextualSpacing/>
        <w:jc w:val="both"/>
        <w:rPr>
          <w:rFonts w:ascii="David" w:eastAsia="Calibri" w:hAnsi="David" w:cs="David"/>
          <w:b/>
          <w:bCs/>
          <w:sz w:val="24"/>
          <w:szCs w:val="24"/>
          <w:rtl/>
        </w:rPr>
      </w:pPr>
      <w:r w:rsidRPr="00D62F0C">
        <w:rPr>
          <w:rFonts w:ascii="David" w:eastAsia="Calibri" w:hAnsi="David" w:cs="David"/>
          <w:b/>
          <w:bCs/>
          <w:sz w:val="24"/>
          <w:szCs w:val="24"/>
          <w:rtl/>
        </w:rPr>
        <w:t xml:space="preserve">       הרשם את העסקה לרישום כשעת הרישום.</w:t>
      </w:r>
    </w:p>
    <w:p w:rsidR="00D62F0C" w:rsidRDefault="00D62F0C" w:rsidP="00D62F0C">
      <w:pPr>
        <w:spacing w:line="360" w:lineRule="auto"/>
        <w:ind w:left="360" w:firstLine="360"/>
        <w:contextualSpacing/>
        <w:jc w:val="both"/>
        <w:rPr>
          <w:rFonts w:ascii="David" w:eastAsia="Calibri" w:hAnsi="David" w:cs="David"/>
          <w:b/>
          <w:bCs/>
          <w:sz w:val="24"/>
          <w:szCs w:val="24"/>
          <w:rtl/>
        </w:rPr>
      </w:pPr>
      <w:r w:rsidRPr="00D62F0C">
        <w:rPr>
          <w:rFonts w:ascii="David" w:eastAsia="Calibri" w:hAnsi="David" w:cs="David"/>
          <w:b/>
          <w:bCs/>
          <w:sz w:val="24"/>
          <w:szCs w:val="24"/>
          <w:rtl/>
        </w:rPr>
        <w:t>(ב) עסקה שלא נגמרה ברישום רואים אותה כהתחייבות לעשות עסקה".</w:t>
      </w:r>
    </w:p>
    <w:p w:rsidR="006A2A7E" w:rsidRPr="00D62F0C" w:rsidRDefault="006A2A7E" w:rsidP="00D62F0C">
      <w:pPr>
        <w:spacing w:line="360" w:lineRule="auto"/>
        <w:ind w:left="360" w:firstLine="360"/>
        <w:contextualSpacing/>
        <w:jc w:val="both"/>
        <w:rPr>
          <w:rFonts w:ascii="David" w:eastAsia="Calibri" w:hAnsi="David" w:cs="David"/>
          <w:b/>
          <w:bCs/>
          <w:sz w:val="24"/>
          <w:szCs w:val="24"/>
          <w:rtl/>
        </w:rPr>
      </w:pPr>
    </w:p>
    <w:p w:rsidR="00D62F0C" w:rsidRPr="00D62F0C" w:rsidRDefault="00D62F0C" w:rsidP="00D62F0C">
      <w:pPr>
        <w:numPr>
          <w:ilvl w:val="0"/>
          <w:numId w:val="1"/>
        </w:numPr>
        <w:spacing w:after="0" w:line="360" w:lineRule="auto"/>
        <w:contextualSpacing/>
        <w:jc w:val="both"/>
        <w:rPr>
          <w:rFonts w:ascii="David" w:eastAsia="Times New Roman" w:hAnsi="David" w:cs="David"/>
          <w:noProof/>
          <w:sz w:val="24"/>
          <w:szCs w:val="24"/>
          <w:rtl/>
        </w:rPr>
      </w:pPr>
      <w:r w:rsidRPr="00D62F0C">
        <w:rPr>
          <w:rFonts w:ascii="David" w:eastAsia="Times New Roman" w:hAnsi="David" w:cs="David"/>
          <w:noProof/>
          <w:sz w:val="24"/>
          <w:szCs w:val="24"/>
          <w:rtl/>
        </w:rPr>
        <w:t xml:space="preserve">ואולם, באם מדובר במתנה בזכויות אובליגטוריות במקרקעין, די במסירת הזכות לידי מקבל המתנה כדי להקנות את המתנה לאלתר, ואין צורך ברישום הזכות על שמו. </w:t>
      </w:r>
      <w:r w:rsidRPr="00D62F0C">
        <w:rPr>
          <w:rFonts w:ascii="Times New Roman" w:eastAsia="Times New Roman" w:hAnsi="Times New Roman" w:cs="David"/>
          <w:noProof/>
          <w:sz w:val="24"/>
          <w:szCs w:val="24"/>
          <w:rtl/>
        </w:rPr>
        <w:t xml:space="preserve">מכאן, שבעת בחינת טיב עסקת המתנה בזכויות במקרקעין, קרי באם מדובר במתנה מוגמרת או התחייבות להענקת מתנה, קיימת הבחנה בין זכות קניינית לבין זכות אובליגטורית </w:t>
      </w:r>
      <w:r w:rsidRPr="00D62F0C">
        <w:rPr>
          <w:rFonts w:ascii="Arial" w:eastAsia="Times New Roman" w:hAnsi="Arial" w:cs="David"/>
          <w:noProof/>
          <w:sz w:val="24"/>
          <w:szCs w:val="24"/>
          <w:rtl/>
        </w:rPr>
        <w:t xml:space="preserve">(ראו ע"א 6529/96 טקסטיל ריינס בע"מ נ' רייך [נבו] </w:t>
      </w:r>
      <w:r w:rsidRPr="00D62F0C">
        <w:rPr>
          <w:rFonts w:ascii="David" w:eastAsia="Times New Roman" w:hAnsi="David" w:cs="David"/>
          <w:noProof/>
          <w:color w:val="555555"/>
          <w:sz w:val="24"/>
          <w:szCs w:val="24"/>
          <w:shd w:val="clear" w:color="auto" w:fill="FFFFFF"/>
          <w:rtl/>
        </w:rPr>
        <w:t xml:space="preserve"> </w:t>
      </w:r>
      <w:r w:rsidRPr="00D62F0C">
        <w:rPr>
          <w:rFonts w:ascii="David" w:eastAsia="Times New Roman" w:hAnsi="David" w:cs="David"/>
          <w:noProof/>
          <w:sz w:val="24"/>
          <w:szCs w:val="24"/>
          <w:shd w:val="clear" w:color="auto" w:fill="FFFFFF"/>
          <w:rtl/>
        </w:rPr>
        <w:t xml:space="preserve">(ראו: ע"א 91/77 ביקסר נ' עמידר פ"ד לב(1) 73, 77; ע"א 514/76 חשאש נ' דמארי פ"ד לא(2) 505, 515; ע"א 274/79 חורי נ' כנען פ"ד לה(3) 337, 348 (להלן: עניין חורי); ע"א 842/79 נס נ' גולדה פ"ד לו(1) 204, 218; ע"א 371/89 פורד נ' שכטר פ"ד מו(1) 149, 153; ע"א 6529/96 ריינס נ' רייך פ"ד נג(2) 218, 226).) על השלכותיה של ההבחנה ביחס להוראות חוק המתנה, עמדה כבוד השופטת ט' שטרסברג- כהן </w:t>
      </w:r>
      <w:r w:rsidRPr="00D62F0C">
        <w:rPr>
          <w:rFonts w:ascii="Times New Roman" w:eastAsia="Times New Roman" w:hAnsi="Times New Roman" w:cs="David"/>
          <w:noProof/>
          <w:sz w:val="24"/>
          <w:szCs w:val="24"/>
          <w:rtl/>
        </w:rPr>
        <w:t xml:space="preserve">בע"א 1284/92 </w:t>
      </w:r>
      <w:r w:rsidRPr="00D62F0C">
        <w:rPr>
          <w:rFonts w:ascii="Times New Roman" w:eastAsia="Times New Roman" w:hAnsi="Times New Roman" w:cs="David"/>
          <w:b/>
          <w:bCs/>
          <w:noProof/>
          <w:sz w:val="24"/>
          <w:szCs w:val="24"/>
          <w:rtl/>
        </w:rPr>
        <w:t>אריה רתם נ' מנחם</w:t>
      </w:r>
      <w:r w:rsidRPr="00D62F0C">
        <w:rPr>
          <w:rFonts w:ascii="Times New Roman" w:eastAsia="Times New Roman" w:hAnsi="Times New Roman" w:cs="David"/>
          <w:noProof/>
          <w:sz w:val="24"/>
          <w:szCs w:val="24"/>
          <w:rtl/>
        </w:rPr>
        <w:t xml:space="preserve"> </w:t>
      </w:r>
      <w:r w:rsidRPr="00D62F0C">
        <w:rPr>
          <w:rFonts w:ascii="Times New Roman" w:eastAsia="Times New Roman" w:hAnsi="Times New Roman" w:cs="David"/>
          <w:b/>
          <w:bCs/>
          <w:noProof/>
          <w:sz w:val="24"/>
          <w:szCs w:val="24"/>
          <w:rtl/>
        </w:rPr>
        <w:t>רתם</w:t>
      </w:r>
      <w:r w:rsidRPr="00D62F0C">
        <w:rPr>
          <w:rFonts w:ascii="Times New Roman" w:eastAsia="Times New Roman" w:hAnsi="Times New Roman" w:cs="David"/>
          <w:noProof/>
          <w:sz w:val="24"/>
          <w:szCs w:val="24"/>
          <w:rtl/>
        </w:rPr>
        <w:t xml:space="preserve">, מט(5) 257 (1996),כדלקמן: </w:t>
      </w:r>
      <w:r w:rsidRPr="00D62F0C">
        <w:rPr>
          <w:rFonts w:ascii="Times New Roman" w:eastAsia="Times New Roman" w:hAnsi="Times New Roman" w:cs="David"/>
          <w:b/>
          <w:bCs/>
          <w:noProof/>
          <w:sz w:val="24"/>
          <w:szCs w:val="24"/>
          <w:rtl/>
        </w:rPr>
        <w:t>"אם זכותו של הנותן היא זכות אובליגטורית בלבד, דהיינו, אם הוא עצמו אינו הבעלים הרשום של המקרקעין אלא הוא בעל הזכות לקבל רישום (בין של בעלות בין של חכירה), הרי בהעבירו זכות זו לאחר מעביר הוא כל מה שיש לו באותם מקרקעין ובכך משלים הוא את המתנה, ומי שהופך להיות בעל הזכות האובליגטורית תחתיו, הוא מקבל המתנה. לעומת זאת, אם הוא רשום כבעל הזכות במקרקעין והוא מתחייב להעביר לאחר במתנה את הזכות הרשומה, הרי כל עוד לא בוצע הרישום על שם הנעבר, לא הושלמה המתנה, והנעבר מחזיק בידיו רק התחייבות למתנה."</w:t>
      </w:r>
    </w:p>
    <w:p w:rsidR="00D62F0C" w:rsidRPr="00D62F0C" w:rsidRDefault="00D62F0C" w:rsidP="00D62F0C">
      <w:pPr>
        <w:spacing w:after="0" w:line="240" w:lineRule="auto"/>
        <w:jc w:val="both"/>
        <w:rPr>
          <w:rFonts w:ascii="Arial" w:eastAsia="Times New Roman" w:hAnsi="Arial" w:cs="David"/>
          <w:noProof/>
          <w:sz w:val="24"/>
          <w:szCs w:val="24"/>
        </w:rPr>
      </w:pPr>
    </w:p>
    <w:p w:rsidR="00D62F0C" w:rsidRPr="00D62F0C" w:rsidRDefault="00D62F0C" w:rsidP="00D62F0C">
      <w:pPr>
        <w:numPr>
          <w:ilvl w:val="0"/>
          <w:numId w:val="1"/>
        </w:numPr>
        <w:spacing w:after="0" w:line="360" w:lineRule="auto"/>
        <w:contextualSpacing/>
        <w:jc w:val="both"/>
        <w:rPr>
          <w:rFonts w:ascii="David" w:eastAsia="Times New Roman" w:hAnsi="David" w:cs="David"/>
          <w:noProof/>
          <w:sz w:val="24"/>
          <w:szCs w:val="24"/>
        </w:rPr>
      </w:pPr>
      <w:r w:rsidRPr="00D62F0C">
        <w:rPr>
          <w:rFonts w:ascii="David" w:eastAsia="Times New Roman" w:hAnsi="David" w:cs="David"/>
          <w:noProof/>
          <w:sz w:val="24"/>
          <w:szCs w:val="24"/>
          <w:shd w:val="clear" w:color="auto" w:fill="FFFFFF"/>
          <w:rtl/>
        </w:rPr>
        <w:t>כן נקבע בפסיקה, שאין כל מניעה להעניק מתנה במקרקעין הכוללת זכות אובליגרטורית, ובעת העברת הזכות, נותן המתנה מעניק את הזכות שבידו. עם השנים אף נקבע שאין מקום לנקודת המוצא לפיה טיב הזכות משפיע על מהות המתנה, וזו תקבע על פי כוונת הצדדים. אפנה לעניין זה לדברי כבוד הנשיאה אסתר חיות בע"א 6439/99 טפחות נגד פרח ואח' (פורסם במאגרים)</w:t>
      </w:r>
      <w:r w:rsidRPr="00D62F0C">
        <w:rPr>
          <w:rFonts w:ascii="David" w:eastAsia="Times New Roman" w:hAnsi="David" w:cs="David"/>
          <w:noProof/>
          <w:sz w:val="24"/>
          <w:szCs w:val="24"/>
          <w:rtl/>
        </w:rPr>
        <w:t xml:space="preserve">, שם קבעה: </w:t>
      </w:r>
    </w:p>
    <w:p w:rsidR="00D62F0C" w:rsidRPr="00D62F0C" w:rsidRDefault="00D62F0C" w:rsidP="00D62F0C">
      <w:pPr>
        <w:spacing w:line="360" w:lineRule="auto"/>
        <w:ind w:left="360"/>
        <w:contextualSpacing/>
        <w:jc w:val="both"/>
        <w:rPr>
          <w:rFonts w:ascii="Arial" w:eastAsia="Times New Roman" w:hAnsi="Arial" w:cs="David"/>
          <w:b/>
          <w:bCs/>
          <w:noProof/>
          <w:sz w:val="24"/>
          <w:szCs w:val="24"/>
          <w:rtl/>
        </w:rPr>
      </w:pPr>
      <w:r w:rsidRPr="00D62F0C">
        <w:rPr>
          <w:rFonts w:ascii="Arial" w:eastAsia="Times New Roman" w:hAnsi="Arial" w:cs="David"/>
          <w:b/>
          <w:bCs/>
          <w:noProof/>
          <w:sz w:val="24"/>
          <w:szCs w:val="24"/>
          <w:rtl/>
        </w:rPr>
        <w:t xml:space="preserve">"בעניין רותם וכן בפסקי-הדין האחרים הנזכרים לעיל, הייתה נקודת המוצא כי הזכות שבידי נותן המתנה משפיעה באופן מכריע על מהותו של 'דבר המתנה'. נראה כי נקודת מוצא זו, אין לה עוד מקום לאחר פסק דינו של בית משפט זה בע"א 2643/97 גנז נ' בריטיש (טרם פורסם) (להלן: עניין גנז), שכן בעניין גנז נקבע כי נשוא העסקה במקרקעין יקבע על פי כוונת הצדדים </w:t>
      </w:r>
      <w:r w:rsidRPr="00D62F0C">
        <w:rPr>
          <w:rFonts w:ascii="Arial" w:eastAsia="Times New Roman" w:hAnsi="Arial" w:cs="David"/>
          <w:b/>
          <w:bCs/>
          <w:noProof/>
          <w:sz w:val="24"/>
          <w:szCs w:val="24"/>
          <w:rtl/>
        </w:rPr>
        <w:lastRenderedPageBreak/>
        <w:t xml:space="preserve">ואילו השאלה מהן הזכויות שהיו בידי המוכר בעת עשיית העסקה אינה מכריעה את הכף לעניין זה." </w:t>
      </w:r>
    </w:p>
    <w:p w:rsidR="00D62F0C" w:rsidRPr="00D62F0C" w:rsidRDefault="00D62F0C" w:rsidP="00D62F0C">
      <w:pPr>
        <w:overflowPunct w:val="0"/>
        <w:autoSpaceDE w:val="0"/>
        <w:autoSpaceDN w:val="0"/>
        <w:spacing w:line="360" w:lineRule="auto"/>
        <w:ind w:left="360"/>
        <w:contextualSpacing/>
        <w:jc w:val="both"/>
        <w:rPr>
          <w:rFonts w:ascii="David" w:eastAsia="Calibri" w:hAnsi="David" w:cs="David"/>
          <w:spacing w:val="10"/>
          <w:sz w:val="24"/>
          <w:szCs w:val="24"/>
        </w:rPr>
      </w:pPr>
      <w:r w:rsidRPr="00D62F0C">
        <w:rPr>
          <w:rFonts w:ascii="David" w:eastAsia="Calibri" w:hAnsi="David" w:cs="David"/>
          <w:spacing w:val="10"/>
          <w:sz w:val="24"/>
          <w:szCs w:val="24"/>
          <w:rtl/>
        </w:rPr>
        <w:t>עוד אפנה לדבריה של כבוד השופטת ברון בע"א 879/14 נחשון נ' נחשון (להלן:"</w:t>
      </w:r>
      <w:r w:rsidRPr="00D62F0C">
        <w:rPr>
          <w:rFonts w:ascii="David" w:eastAsia="Calibri" w:hAnsi="David" w:cs="David"/>
          <w:b/>
          <w:bCs/>
          <w:spacing w:val="10"/>
          <w:sz w:val="24"/>
          <w:szCs w:val="24"/>
          <w:rtl/>
        </w:rPr>
        <w:t>פרשת נחשון</w:t>
      </w:r>
      <w:r w:rsidRPr="00D62F0C">
        <w:rPr>
          <w:rFonts w:ascii="David" w:eastAsia="Calibri" w:hAnsi="David" w:cs="David"/>
          <w:spacing w:val="10"/>
          <w:sz w:val="24"/>
          <w:szCs w:val="24"/>
          <w:rtl/>
        </w:rPr>
        <w:t>") שם קבעה:         </w:t>
      </w:r>
    </w:p>
    <w:p w:rsidR="00D62F0C" w:rsidRPr="00D62F0C" w:rsidRDefault="00D62F0C" w:rsidP="00D62F0C">
      <w:pPr>
        <w:overflowPunct w:val="0"/>
        <w:autoSpaceDE w:val="0"/>
        <w:autoSpaceDN w:val="0"/>
        <w:spacing w:line="360" w:lineRule="auto"/>
        <w:ind w:left="360"/>
        <w:contextualSpacing/>
        <w:jc w:val="both"/>
        <w:rPr>
          <w:rFonts w:ascii="David" w:eastAsia="Calibri" w:hAnsi="David" w:cs="David"/>
          <w:b/>
          <w:bCs/>
          <w:spacing w:val="10"/>
          <w:sz w:val="24"/>
          <w:szCs w:val="24"/>
        </w:rPr>
      </w:pPr>
      <w:r w:rsidRPr="00D62F0C">
        <w:rPr>
          <w:rFonts w:ascii="David" w:eastAsia="Calibri" w:hAnsi="David" w:cs="David"/>
          <w:b/>
          <w:bCs/>
          <w:spacing w:val="10"/>
          <w:sz w:val="24"/>
          <w:szCs w:val="24"/>
          <w:rtl/>
        </w:rPr>
        <w:t xml:space="preserve">"כידוע, אדם יכול להתחייב להעניק זכות במקרקעין, לאחר שזו תגיע לידיו, אף על פי שבעת ההתחייבות הוא עצמו אינו מחזיק בזכות זו (ראו: </w:t>
      </w:r>
      <w:r w:rsidRPr="00D62F0C">
        <w:rPr>
          <w:rFonts w:ascii="David" w:eastAsia="Calibri" w:hAnsi="David" w:cs="David"/>
          <w:b/>
          <w:bCs/>
          <w:sz w:val="24"/>
          <w:szCs w:val="24"/>
          <w:rtl/>
        </w:rPr>
        <w:t xml:space="preserve">עניין טפחות, </w:t>
      </w:r>
      <w:r w:rsidRPr="00D62F0C">
        <w:rPr>
          <w:rFonts w:ascii="David" w:eastAsia="Calibri" w:hAnsi="David" w:cs="David"/>
          <w:b/>
          <w:bCs/>
          <w:spacing w:val="10"/>
          <w:sz w:val="24"/>
          <w:szCs w:val="24"/>
          <w:rtl/>
        </w:rPr>
        <w:t xml:space="preserve">בעמ' 118). ואולם שונה הוא המצב כאשר </w:t>
      </w:r>
      <w:r w:rsidRPr="00D62F0C">
        <w:rPr>
          <w:rFonts w:ascii="David" w:eastAsia="Calibri" w:hAnsi="David" w:cs="David"/>
          <w:b/>
          <w:bCs/>
          <w:sz w:val="24"/>
          <w:szCs w:val="24"/>
          <w:rtl/>
        </w:rPr>
        <w:t>דבר המתנה</w:t>
      </w:r>
      <w:r w:rsidRPr="00D62F0C">
        <w:rPr>
          <w:rFonts w:ascii="David" w:eastAsia="Calibri" w:hAnsi="David" w:cs="David"/>
          <w:b/>
          <w:bCs/>
          <w:spacing w:val="10"/>
          <w:sz w:val="24"/>
          <w:szCs w:val="24"/>
          <w:rtl/>
        </w:rPr>
        <w:t xml:space="preserve"> הוא </w:t>
      </w:r>
      <w:r w:rsidRPr="00D62F0C">
        <w:rPr>
          <w:rFonts w:ascii="David" w:eastAsia="Calibri" w:hAnsi="David" w:cs="David"/>
          <w:b/>
          <w:bCs/>
          <w:sz w:val="24"/>
          <w:szCs w:val="24"/>
          <w:rtl/>
        </w:rPr>
        <w:t>זכות אובליגטורית</w:t>
      </w:r>
      <w:r w:rsidRPr="00D62F0C">
        <w:rPr>
          <w:rFonts w:ascii="David" w:eastAsia="Calibri" w:hAnsi="David" w:cs="David"/>
          <w:b/>
          <w:bCs/>
          <w:spacing w:val="10"/>
          <w:sz w:val="24"/>
          <w:szCs w:val="24"/>
          <w:rtl/>
        </w:rPr>
        <w:t xml:space="preserve"> ביחס למקרקעין. במקרה כאמור עסקינן בעסקת מתנה בזכויות, הניתנת להשלמה גם </w:t>
      </w:r>
      <w:r w:rsidRPr="00D62F0C">
        <w:rPr>
          <w:rFonts w:ascii="David" w:eastAsia="Calibri" w:hAnsi="David" w:cs="David"/>
          <w:b/>
          <w:bCs/>
          <w:sz w:val="24"/>
          <w:szCs w:val="24"/>
          <w:rtl/>
        </w:rPr>
        <w:t>בלא רישום</w:t>
      </w:r>
      <w:r w:rsidRPr="00D62F0C">
        <w:rPr>
          <w:rFonts w:ascii="David" w:eastAsia="Calibri" w:hAnsi="David" w:cs="David"/>
          <w:b/>
          <w:bCs/>
          <w:spacing w:val="10"/>
          <w:sz w:val="24"/>
          <w:szCs w:val="24"/>
          <w:rtl/>
        </w:rPr>
        <w:t xml:space="preserve"> בלשכת רישום המקרקעין (ראו רע"א 4890/15 </w:t>
      </w:r>
      <w:r w:rsidRPr="00D62F0C">
        <w:rPr>
          <w:rFonts w:ascii="David" w:eastAsia="Calibri" w:hAnsi="David" w:cs="David"/>
          <w:b/>
          <w:bCs/>
          <w:sz w:val="24"/>
          <w:szCs w:val="24"/>
          <w:rtl/>
        </w:rPr>
        <w:t>אלוש נ' עיריית טבריה</w:t>
      </w:r>
      <w:r w:rsidRPr="00D62F0C">
        <w:rPr>
          <w:rFonts w:ascii="David" w:eastAsia="Calibri" w:hAnsi="David" w:cs="David"/>
          <w:b/>
          <w:bCs/>
          <w:spacing w:val="10"/>
          <w:sz w:val="24"/>
          <w:szCs w:val="24"/>
          <w:rtl/>
        </w:rPr>
        <w:t>, פסקה 6 (31.12.2015);</w:t>
      </w:r>
      <w:r w:rsidRPr="00D62F0C">
        <w:rPr>
          <w:rFonts w:ascii="David" w:eastAsia="Calibri" w:hAnsi="David" w:cs="David"/>
          <w:b/>
          <w:bCs/>
          <w:sz w:val="24"/>
          <w:szCs w:val="24"/>
          <w:rtl/>
        </w:rPr>
        <w:t xml:space="preserve"> </w:t>
      </w:r>
      <w:r w:rsidRPr="00D62F0C">
        <w:rPr>
          <w:rFonts w:ascii="David" w:eastAsia="Calibri" w:hAnsi="David" w:cs="David"/>
          <w:b/>
          <w:bCs/>
          <w:spacing w:val="10"/>
          <w:sz w:val="24"/>
          <w:szCs w:val="24"/>
          <w:rtl/>
        </w:rPr>
        <w:t xml:space="preserve">ע"א 4593/09 </w:t>
      </w:r>
      <w:r w:rsidRPr="00D62F0C">
        <w:rPr>
          <w:rFonts w:ascii="David" w:eastAsia="Calibri" w:hAnsi="David" w:cs="David"/>
          <w:b/>
          <w:bCs/>
          <w:sz w:val="24"/>
          <w:szCs w:val="24"/>
          <w:rtl/>
        </w:rPr>
        <w:t>סעיד נ' יורשי המנוח סעיד</w:t>
      </w:r>
      <w:r w:rsidRPr="00D62F0C">
        <w:rPr>
          <w:rFonts w:ascii="David" w:eastAsia="Calibri" w:hAnsi="David" w:cs="David"/>
          <w:b/>
          <w:bCs/>
          <w:spacing w:val="10"/>
          <w:sz w:val="24"/>
          <w:szCs w:val="24"/>
          <w:rtl/>
        </w:rPr>
        <w:t>,</w:t>
      </w:r>
      <w:r w:rsidRPr="00D62F0C">
        <w:rPr>
          <w:rFonts w:ascii="David" w:eastAsia="Calibri" w:hAnsi="David" w:cs="David"/>
          <w:b/>
          <w:bCs/>
          <w:sz w:val="24"/>
          <w:szCs w:val="24"/>
          <w:rtl/>
        </w:rPr>
        <w:t xml:space="preserve"> </w:t>
      </w:r>
      <w:r w:rsidRPr="00D62F0C">
        <w:rPr>
          <w:rFonts w:ascii="David" w:eastAsia="Calibri" w:hAnsi="David" w:cs="David"/>
          <w:b/>
          <w:bCs/>
          <w:spacing w:val="10"/>
          <w:sz w:val="24"/>
          <w:szCs w:val="24"/>
          <w:rtl/>
        </w:rPr>
        <w:t xml:space="preserve">פסקה 17 (15.11.2011); ע"א 1284/92 </w:t>
      </w:r>
      <w:r w:rsidRPr="00D62F0C">
        <w:rPr>
          <w:rFonts w:ascii="David" w:eastAsia="Calibri" w:hAnsi="David" w:cs="David"/>
          <w:b/>
          <w:bCs/>
          <w:sz w:val="24"/>
          <w:szCs w:val="24"/>
          <w:rtl/>
        </w:rPr>
        <w:t>רתם</w:t>
      </w:r>
      <w:r w:rsidRPr="00D62F0C">
        <w:rPr>
          <w:rFonts w:ascii="David" w:eastAsia="Calibri" w:hAnsi="David" w:cs="David"/>
          <w:b/>
          <w:bCs/>
          <w:sz w:val="24"/>
          <w:szCs w:val="24"/>
        </w:rPr>
        <w:t xml:space="preserve"> </w:t>
      </w:r>
      <w:r w:rsidRPr="00D62F0C">
        <w:rPr>
          <w:rFonts w:ascii="David" w:eastAsia="Calibri" w:hAnsi="David" w:cs="David"/>
          <w:b/>
          <w:bCs/>
          <w:sz w:val="24"/>
          <w:szCs w:val="24"/>
          <w:rtl/>
        </w:rPr>
        <w:t>נ' רתם</w:t>
      </w:r>
      <w:r w:rsidRPr="00D62F0C">
        <w:rPr>
          <w:rFonts w:ascii="David" w:eastAsia="Calibri" w:hAnsi="David" w:cs="David"/>
          <w:b/>
          <w:bCs/>
          <w:spacing w:val="10"/>
          <w:sz w:val="24"/>
          <w:szCs w:val="24"/>
          <w:rtl/>
        </w:rPr>
        <w:t xml:space="preserve">, פ"ד מט(5) 257, 260 (1996)). </w:t>
      </w:r>
    </w:p>
    <w:p w:rsidR="00D62F0C" w:rsidRDefault="00D62F0C" w:rsidP="00D62F0C">
      <w:pPr>
        <w:overflowPunct w:val="0"/>
        <w:autoSpaceDE w:val="0"/>
        <w:autoSpaceDN w:val="0"/>
        <w:spacing w:line="360" w:lineRule="auto"/>
        <w:ind w:left="360"/>
        <w:contextualSpacing/>
        <w:jc w:val="both"/>
        <w:rPr>
          <w:rFonts w:ascii="David" w:eastAsia="Calibri" w:hAnsi="David" w:cs="David"/>
          <w:b/>
          <w:bCs/>
          <w:spacing w:val="10"/>
          <w:sz w:val="24"/>
          <w:szCs w:val="24"/>
          <w:rtl/>
        </w:rPr>
      </w:pPr>
      <w:r w:rsidRPr="00D62F0C">
        <w:rPr>
          <w:rFonts w:ascii="David" w:eastAsia="Calibri" w:hAnsi="David" w:cs="David"/>
          <w:b/>
          <w:bCs/>
          <w:spacing w:val="10"/>
          <w:sz w:val="24"/>
          <w:szCs w:val="24"/>
          <w:rtl/>
        </w:rPr>
        <w:t xml:space="preserve">אחת המסקנות העולות מן האמור, היא שטיב הזכות הנתונה בידי נותן המתנה איננה גוזרת כשלעצמה את התשובה לשאלה מהי הזכות שניתנה במתנה (ע"א 2643/97 </w:t>
      </w:r>
      <w:r w:rsidRPr="00D62F0C">
        <w:rPr>
          <w:rFonts w:ascii="David" w:eastAsia="Calibri" w:hAnsi="David" w:cs="David"/>
          <w:b/>
          <w:bCs/>
          <w:sz w:val="24"/>
          <w:szCs w:val="24"/>
          <w:rtl/>
        </w:rPr>
        <w:t>גנז נ' בריטיש וקולניאל חברה בע"מ</w:t>
      </w:r>
      <w:r w:rsidRPr="00D62F0C">
        <w:rPr>
          <w:rFonts w:ascii="David" w:eastAsia="Calibri" w:hAnsi="David" w:cs="David"/>
          <w:b/>
          <w:bCs/>
          <w:spacing w:val="10"/>
          <w:sz w:val="24"/>
          <w:szCs w:val="24"/>
          <w:rtl/>
        </w:rPr>
        <w:t xml:space="preserve"> (5.2.2003)), וגם לא את מועד הקנייתה של המתנה. שאלות אלה יוכרעו בעיקר על פי </w:t>
      </w:r>
      <w:r w:rsidRPr="00D62F0C">
        <w:rPr>
          <w:rFonts w:ascii="David" w:eastAsia="Calibri" w:hAnsi="David" w:cs="David"/>
          <w:b/>
          <w:bCs/>
          <w:sz w:val="24"/>
          <w:szCs w:val="24"/>
          <w:rtl/>
        </w:rPr>
        <w:t>כוונת הצדדים</w:t>
      </w:r>
      <w:r w:rsidRPr="00D62F0C">
        <w:rPr>
          <w:rFonts w:ascii="David" w:eastAsia="Calibri" w:hAnsi="David" w:cs="David"/>
          <w:b/>
          <w:bCs/>
          <w:spacing w:val="10"/>
          <w:sz w:val="24"/>
          <w:szCs w:val="24"/>
          <w:rtl/>
        </w:rPr>
        <w:t xml:space="preserve">". </w:t>
      </w:r>
    </w:p>
    <w:p w:rsidR="006A2A7E" w:rsidRPr="00D62F0C" w:rsidRDefault="006A2A7E" w:rsidP="00D62F0C">
      <w:pPr>
        <w:overflowPunct w:val="0"/>
        <w:autoSpaceDE w:val="0"/>
        <w:autoSpaceDN w:val="0"/>
        <w:spacing w:line="360" w:lineRule="auto"/>
        <w:ind w:left="360"/>
        <w:contextualSpacing/>
        <w:jc w:val="both"/>
        <w:rPr>
          <w:rFonts w:ascii="David" w:eastAsia="Calibri" w:hAnsi="David" w:cs="David"/>
          <w:b/>
          <w:bCs/>
          <w:spacing w:val="10"/>
          <w:sz w:val="24"/>
          <w:szCs w:val="24"/>
          <w:rtl/>
        </w:rPr>
      </w:pPr>
    </w:p>
    <w:p w:rsidR="00D62F0C" w:rsidRPr="00D62F0C" w:rsidRDefault="00D62F0C" w:rsidP="006A2A7E">
      <w:pPr>
        <w:numPr>
          <w:ilvl w:val="0"/>
          <w:numId w:val="1"/>
        </w:numPr>
        <w:spacing w:after="0" w:line="360" w:lineRule="auto"/>
        <w:contextualSpacing/>
        <w:jc w:val="both"/>
        <w:rPr>
          <w:rFonts w:ascii="Arial" w:eastAsia="Times New Roman" w:hAnsi="Arial" w:cs="David"/>
          <w:noProof/>
          <w:sz w:val="24"/>
          <w:szCs w:val="24"/>
        </w:rPr>
      </w:pPr>
      <w:r w:rsidRPr="00D62F0C">
        <w:rPr>
          <w:rFonts w:ascii="Arial" w:eastAsia="Times New Roman" w:hAnsi="Arial" w:cs="David"/>
          <w:noProof/>
          <w:sz w:val="24"/>
          <w:szCs w:val="24"/>
          <w:rtl/>
        </w:rPr>
        <w:t>בענייננו, התובעת קיבלה במתנה את הזכויות בנכס מאביה ז"ל, ברם לא השלימה את רישום הזכויות על שמה, ומכאן, זכויותיה אובליגטורית. על-</w:t>
      </w:r>
      <w:r w:rsidR="006A2A7E">
        <w:rPr>
          <w:rFonts w:ascii="Arial" w:eastAsia="Times New Roman" w:hAnsi="Arial" w:cs="David" w:hint="cs"/>
          <w:noProof/>
          <w:sz w:val="24"/>
          <w:szCs w:val="24"/>
          <w:rtl/>
        </w:rPr>
        <w:t xml:space="preserve"> </w:t>
      </w:r>
      <w:r w:rsidRPr="00D62F0C">
        <w:rPr>
          <w:rFonts w:ascii="Arial" w:eastAsia="Times New Roman" w:hAnsi="Arial" w:cs="David"/>
          <w:noProof/>
          <w:sz w:val="24"/>
          <w:szCs w:val="24"/>
          <w:rtl/>
        </w:rPr>
        <w:t>כן, מרגע שהעבירה זכויותיה לנתבע,  רואים אותה כמי שהעבירה את כל מה שיש לה בנכס המועבר, ועת הנתבע מקבל המתנה השלים את המתנה, הוא הפך להיות בעל הזכות האובליגטורית תחתיה. על מנת לבחון באם המדובר במתנה מוגמרת, יש להתחקות אחר כוונת הצדדים בנסיבות הספציפיות. לאחר שעשיתי כן, מצאתי לקבוע שהמדובר בעסקה מוגמרת ולא בהתחייבות להענקת מתנה, כפי שטוענים התובעים, וזאת מכמה נימוקים:</w:t>
      </w:r>
    </w:p>
    <w:p w:rsidR="00D62F0C" w:rsidRPr="00D62F0C" w:rsidRDefault="00D62F0C" w:rsidP="00D62F0C">
      <w:pPr>
        <w:numPr>
          <w:ilvl w:val="0"/>
          <w:numId w:val="4"/>
        </w:numPr>
        <w:spacing w:after="0" w:line="360" w:lineRule="auto"/>
        <w:contextualSpacing/>
        <w:jc w:val="both"/>
        <w:rPr>
          <w:rFonts w:ascii="David" w:eastAsia="Calibri" w:hAnsi="David" w:cs="David"/>
          <w:sz w:val="24"/>
          <w:szCs w:val="24"/>
        </w:rPr>
      </w:pPr>
      <w:r w:rsidRPr="00D62F0C">
        <w:rPr>
          <w:rFonts w:ascii="David" w:eastAsia="Calibri" w:hAnsi="David" w:cs="David"/>
          <w:sz w:val="24"/>
          <w:szCs w:val="24"/>
          <w:rtl/>
        </w:rPr>
        <w:t xml:space="preserve">אין חולק שהתובעת העניקה לנתבע את הזכויות בנכס, והנתבע קיבל את הזכויות מן התובעת, בהתאם לקבוע ביניהם בהסכם מיום 1.8.15. </w:t>
      </w:r>
    </w:p>
    <w:p w:rsidR="00D62F0C" w:rsidRPr="00D62F0C" w:rsidRDefault="00D62F0C" w:rsidP="00D62F0C">
      <w:pPr>
        <w:spacing w:line="240" w:lineRule="auto"/>
        <w:ind w:left="720"/>
        <w:contextualSpacing/>
        <w:jc w:val="both"/>
        <w:rPr>
          <w:rFonts w:ascii="David" w:eastAsia="Calibri" w:hAnsi="David" w:cs="David"/>
          <w:sz w:val="24"/>
          <w:szCs w:val="24"/>
        </w:rPr>
      </w:pPr>
    </w:p>
    <w:p w:rsidR="00D62F0C" w:rsidRPr="00D62F0C" w:rsidRDefault="00D62F0C" w:rsidP="00D62F0C">
      <w:pPr>
        <w:numPr>
          <w:ilvl w:val="0"/>
          <w:numId w:val="4"/>
        </w:numPr>
        <w:spacing w:after="0" w:line="360" w:lineRule="auto"/>
        <w:contextualSpacing/>
        <w:jc w:val="both"/>
        <w:rPr>
          <w:rFonts w:ascii="David" w:eastAsia="Calibri" w:hAnsi="David" w:cs="David"/>
          <w:sz w:val="24"/>
          <w:szCs w:val="24"/>
        </w:rPr>
      </w:pPr>
      <w:r w:rsidRPr="00D62F0C">
        <w:rPr>
          <w:rFonts w:ascii="David" w:eastAsia="Calibri" w:hAnsi="David" w:cs="David"/>
          <w:sz w:val="24"/>
          <w:szCs w:val="24"/>
          <w:rtl/>
        </w:rPr>
        <w:t xml:space="preserve">ביום 12.8.15, העסקה דווחה לרשויות כחוק, בהסכמת הצדדים. </w:t>
      </w:r>
    </w:p>
    <w:p w:rsidR="00D62F0C" w:rsidRPr="00D62F0C" w:rsidRDefault="00D62F0C" w:rsidP="00D62F0C">
      <w:pPr>
        <w:spacing w:line="240" w:lineRule="auto"/>
        <w:ind w:left="720"/>
        <w:contextualSpacing/>
        <w:rPr>
          <w:rFonts w:ascii="David" w:eastAsia="Calibri" w:hAnsi="David" w:cs="David"/>
          <w:sz w:val="24"/>
          <w:szCs w:val="24"/>
        </w:rPr>
      </w:pPr>
    </w:p>
    <w:p w:rsidR="00D62F0C" w:rsidRPr="00D62F0C" w:rsidRDefault="00D62F0C" w:rsidP="00D62F0C">
      <w:pPr>
        <w:numPr>
          <w:ilvl w:val="0"/>
          <w:numId w:val="4"/>
        </w:numPr>
        <w:spacing w:after="0" w:line="360" w:lineRule="auto"/>
        <w:contextualSpacing/>
        <w:jc w:val="both"/>
        <w:rPr>
          <w:rFonts w:ascii="David" w:eastAsia="Calibri" w:hAnsi="David" w:cs="David"/>
          <w:sz w:val="24"/>
          <w:szCs w:val="24"/>
          <w:rtl/>
        </w:rPr>
      </w:pPr>
      <w:r w:rsidRPr="00D62F0C">
        <w:rPr>
          <w:rFonts w:ascii="David" w:eastAsia="Calibri" w:hAnsi="David" w:cs="David"/>
          <w:sz w:val="24"/>
          <w:szCs w:val="24"/>
          <w:rtl/>
        </w:rPr>
        <w:t>על פי גרסת התובעים במסגרת כתב התביעה המתוקן האחרון (ראה סעיף 9), החזקה בנכס הועברה לנתבעים עוד בשנת 2012, עובר לכריתת ההסכם. מכאן, אין חולק שהצדדים קיימו בפועל את הוראות ההסכם, ונהגו לפיהן משך שנים רבות, כך שהמתנה הועברה באופן מיידי למקבל המתנה - הוא הנתבע.</w:t>
      </w:r>
    </w:p>
    <w:p w:rsidR="00D62F0C" w:rsidRPr="00D62F0C" w:rsidRDefault="00D62F0C" w:rsidP="00D62F0C">
      <w:pPr>
        <w:spacing w:line="240" w:lineRule="auto"/>
        <w:ind w:left="720"/>
        <w:contextualSpacing/>
        <w:rPr>
          <w:rFonts w:ascii="David" w:eastAsia="Calibri" w:hAnsi="David" w:cs="David"/>
          <w:sz w:val="24"/>
          <w:szCs w:val="24"/>
        </w:rPr>
      </w:pPr>
    </w:p>
    <w:p w:rsidR="00D62F0C" w:rsidRPr="00D62F0C" w:rsidRDefault="00D62F0C" w:rsidP="00D62F0C">
      <w:pPr>
        <w:numPr>
          <w:ilvl w:val="0"/>
          <w:numId w:val="4"/>
        </w:numPr>
        <w:spacing w:after="0" w:line="360" w:lineRule="auto"/>
        <w:contextualSpacing/>
        <w:jc w:val="both"/>
        <w:rPr>
          <w:rFonts w:ascii="David" w:eastAsia="Calibri" w:hAnsi="David" w:cs="David"/>
          <w:sz w:val="24"/>
          <w:szCs w:val="24"/>
          <w:rtl/>
        </w:rPr>
      </w:pPr>
      <w:r w:rsidRPr="00D62F0C">
        <w:rPr>
          <w:rFonts w:ascii="David" w:eastAsia="Calibri" w:hAnsi="David" w:cs="David"/>
          <w:sz w:val="24"/>
          <w:szCs w:val="24"/>
          <w:rtl/>
        </w:rPr>
        <w:t xml:space="preserve">חרף שלל טענות הצדדים, לרבות טענות בדבר כפייה, הטעייה ויחס בלתי הולם אותן דחיתי, התובעים נקטו בהליך בשיהוי, וטענותיהם לא הועלו בסמוך למועד ההפרה הנטען, על אף שהחזקה בנכס הועברה לנתבעים כשנתיים עובר לכריתתו. מכאן, עת התובעים בעצמם </w:t>
      </w:r>
      <w:r w:rsidRPr="00D62F0C">
        <w:rPr>
          <w:rFonts w:ascii="David" w:eastAsia="Calibri" w:hAnsi="David" w:cs="David"/>
          <w:sz w:val="24"/>
          <w:szCs w:val="24"/>
          <w:rtl/>
        </w:rPr>
        <w:lastRenderedPageBreak/>
        <w:t xml:space="preserve">מצהירים שהתכוונו להעניק את הזכויות בדירה, ולו לטובת הקטינים, ושעה שכוונתם נבחנת בעת ההתקשרות בעסקת המתנה ולא מאוחר לה, מצאתי לקבוע שבנסיבות עסקינן, כוונתם הייתה לקיום מיידי. </w:t>
      </w:r>
    </w:p>
    <w:p w:rsidR="00D62F0C" w:rsidRPr="00D62F0C" w:rsidRDefault="00D62F0C" w:rsidP="00D62F0C">
      <w:pPr>
        <w:spacing w:line="240" w:lineRule="auto"/>
        <w:ind w:left="720"/>
        <w:contextualSpacing/>
        <w:rPr>
          <w:rFonts w:ascii="David" w:eastAsia="Calibri" w:hAnsi="David" w:cs="David"/>
          <w:sz w:val="24"/>
          <w:szCs w:val="24"/>
        </w:rPr>
      </w:pPr>
    </w:p>
    <w:p w:rsidR="00D62F0C" w:rsidRDefault="00D62F0C" w:rsidP="00D62F0C">
      <w:pPr>
        <w:numPr>
          <w:ilvl w:val="0"/>
          <w:numId w:val="4"/>
        </w:numPr>
        <w:spacing w:after="0" w:line="360" w:lineRule="auto"/>
        <w:contextualSpacing/>
        <w:jc w:val="both"/>
        <w:rPr>
          <w:rFonts w:ascii="David" w:eastAsia="Calibri" w:hAnsi="David" w:cs="David"/>
          <w:b/>
          <w:bCs/>
          <w:sz w:val="24"/>
          <w:szCs w:val="24"/>
        </w:rPr>
      </w:pPr>
      <w:r w:rsidRPr="00D62F0C">
        <w:rPr>
          <w:rFonts w:ascii="David" w:eastAsia="Calibri" w:hAnsi="David" w:cs="David"/>
          <w:sz w:val="24"/>
          <w:szCs w:val="24"/>
          <w:rtl/>
        </w:rPr>
        <w:t>עיון בהוראות ההסכם מלמד שהמדובר בהסכם  קצר המונה 2 עמודים, והוראותיו מנוסחות באופן ענייני ואופרטיבי, וקובעות כי "</w:t>
      </w:r>
      <w:r w:rsidRPr="00D62F0C">
        <w:rPr>
          <w:rFonts w:ascii="David" w:eastAsia="Calibri" w:hAnsi="David" w:cs="David"/>
          <w:b/>
          <w:bCs/>
          <w:sz w:val="24"/>
          <w:szCs w:val="24"/>
          <w:rtl/>
        </w:rPr>
        <w:t xml:space="preserve">הנותנים מעניקים את זכויותיהם בנכס" </w:t>
      </w:r>
      <w:r w:rsidRPr="00D62F0C">
        <w:rPr>
          <w:rFonts w:ascii="David" w:eastAsia="Calibri" w:hAnsi="David" w:cs="David"/>
          <w:sz w:val="24"/>
          <w:szCs w:val="24"/>
          <w:rtl/>
        </w:rPr>
        <w:t xml:space="preserve">ובהמשך </w:t>
      </w:r>
      <w:r w:rsidRPr="00D62F0C">
        <w:rPr>
          <w:rFonts w:ascii="David" w:eastAsia="Calibri" w:hAnsi="David" w:cs="David"/>
          <w:b/>
          <w:bCs/>
          <w:sz w:val="24"/>
          <w:szCs w:val="24"/>
          <w:rtl/>
        </w:rPr>
        <w:t xml:space="preserve">"הנותנים מצהירים כי הם לא יכולים לחזור בהם מהסכמתם זו". </w:t>
      </w:r>
      <w:r w:rsidRPr="00D62F0C">
        <w:rPr>
          <w:rFonts w:ascii="David" w:eastAsia="Calibri" w:hAnsi="David" w:cs="David"/>
          <w:sz w:val="24"/>
          <w:szCs w:val="24"/>
          <w:rtl/>
        </w:rPr>
        <w:t xml:space="preserve">לשון ההסכם, בצירוף לכל האמור לעיל, מלמדת על כוונתם הברורה של התובעים בעת הענקת המתנה, וכן בהסכמתם שלא יוכלו לחזור בהם מהתחייבותם. </w:t>
      </w:r>
    </w:p>
    <w:p w:rsidR="006A2A7E" w:rsidRPr="00D62F0C" w:rsidRDefault="006A2A7E" w:rsidP="006A2A7E">
      <w:pPr>
        <w:spacing w:after="0" w:line="360" w:lineRule="auto"/>
        <w:ind w:left="720"/>
        <w:contextualSpacing/>
        <w:jc w:val="both"/>
        <w:rPr>
          <w:rFonts w:ascii="David" w:eastAsia="Calibri" w:hAnsi="David" w:cs="David"/>
          <w:b/>
          <w:bCs/>
          <w:sz w:val="24"/>
          <w:szCs w:val="24"/>
          <w:rtl/>
        </w:rPr>
      </w:pPr>
    </w:p>
    <w:p w:rsidR="00D62F0C" w:rsidRDefault="00D62F0C" w:rsidP="00D62F0C">
      <w:pPr>
        <w:numPr>
          <w:ilvl w:val="0"/>
          <w:numId w:val="1"/>
        </w:numPr>
        <w:spacing w:after="0" w:line="360" w:lineRule="auto"/>
        <w:contextualSpacing/>
        <w:jc w:val="both"/>
        <w:rPr>
          <w:rFonts w:ascii="Arial" w:eastAsia="Times New Roman" w:hAnsi="Arial" w:cs="David"/>
          <w:noProof/>
          <w:sz w:val="24"/>
          <w:szCs w:val="24"/>
        </w:rPr>
      </w:pPr>
      <w:r w:rsidRPr="00D62F0C">
        <w:rPr>
          <w:rFonts w:ascii="Arial" w:eastAsia="Times New Roman" w:hAnsi="Arial" w:cs="David"/>
          <w:noProof/>
          <w:sz w:val="24"/>
          <w:szCs w:val="24"/>
          <w:rtl/>
        </w:rPr>
        <w:t>למעלה מן הצורך אציין שאף באם הייתי מוצאת לקבוע כי המדובר בהתחייבות להענקת מתנה, עדיין, לא מתקיימים התנאים לחזרה מן ההתחייבות, שכן התובעים ויתרו על זכותם לחזור בהם כמו גם שמקבלי המתנה שינו ממצבם בהסתמך על המתנה. מטענות הצדדים, ובכלל זה גרסת התובעים בכתב תביעתם הראשון, עולה שהנתבע שיפץ את הדירה</w:t>
      </w:r>
      <w:r w:rsidRPr="00D62F0C">
        <w:rPr>
          <w:rFonts w:ascii="Times New Roman" w:eastAsia="Times New Roman" w:hAnsi="Times New Roman" w:cs="David"/>
          <w:noProof/>
          <w:sz w:val="24"/>
          <w:szCs w:val="24"/>
          <w:rtl/>
        </w:rPr>
        <w:t xml:space="preserve"> שיפוץ מקיף אשר כלל הריסות, חלוקת דירה מחדש, ריצוף, ביוב, חשמל, טיח וצבע, כל זאת לצורך מעבר הנתבעים לבית (ראו סעיף 4 לתצהיר האח וכן עדותו בעמ' 24 שו' 27-28). בנוסף, </w:t>
      </w:r>
      <w:r w:rsidRPr="00D62F0C">
        <w:rPr>
          <w:rFonts w:ascii="Arial" w:eastAsia="Times New Roman" w:hAnsi="Arial" w:cs="David"/>
          <w:noProof/>
          <w:sz w:val="24"/>
          <w:szCs w:val="24"/>
          <w:rtl/>
        </w:rPr>
        <w:t>לא הוכחה לפניי התנהגות מחפירה מצד הנתבעים, העולה בכדי ביטול המתנה;</w:t>
      </w:r>
      <w:r w:rsidRPr="00D62F0C">
        <w:rPr>
          <w:rFonts w:ascii="Times New Roman" w:eastAsia="Times New Roman" w:hAnsi="Times New Roman" w:cs="David"/>
          <w:noProof/>
          <w:sz w:val="24"/>
          <w:szCs w:val="24"/>
          <w:rtl/>
        </w:rPr>
        <w:t xml:space="preserve"> אכן, מעדויות הצדדים כמו גם מהפנייתם לתיקים הקשורים שהתנהלו בעניינם, עולה </w:t>
      </w:r>
      <w:r w:rsidRPr="00D62F0C">
        <w:rPr>
          <w:rFonts w:ascii="Arial" w:eastAsia="Times New Roman" w:hAnsi="Arial" w:cs="David"/>
          <w:noProof/>
          <w:sz w:val="24"/>
          <w:szCs w:val="24"/>
          <w:rtl/>
        </w:rPr>
        <w:t xml:space="preserve">שמערכת היחסים בין הצדדים התדרדרה משך השנים תוך שהוחלפו ביניהם דברים קשים והתרחשו אירועי אלימות. אולם, למשמע העדויות לפניי ולאחר צפייה בסרטון שהוצג התרשמתי "ששני הצדדים לא טמנו ידם בצלחת"  באופן בו כולם, ללא יוצא מן הכלל, נהגו באופן בלתי ראוי, לרבות גילויי אלימות פיסית. חיזוק למסקנתי מצאתי בעדות הצדדים עצמם אשר הודו במהלך חקירתם שלא התנהלו באופן ראוי, מחמת תגובה או התגרות (ראו עדות התובעת בעמ' 19-20; עדות התובע בעמ' 23; ועדות הנתבע בעמ' 29 ועמ' 31 לפרוטוקול הדיון). מכאן, אין זה מן הדין לייחס לצד אחד התנהלות מחפירה, מקום בו שני הצדדים נהגו באותו האופן. </w:t>
      </w:r>
    </w:p>
    <w:p w:rsidR="006A2A7E" w:rsidRPr="00D62F0C" w:rsidRDefault="006A2A7E" w:rsidP="006A2A7E">
      <w:pPr>
        <w:spacing w:after="0" w:line="360" w:lineRule="auto"/>
        <w:ind w:left="360"/>
        <w:contextualSpacing/>
        <w:jc w:val="both"/>
        <w:rPr>
          <w:rFonts w:ascii="Arial" w:eastAsia="Times New Roman" w:hAnsi="Arial" w:cs="David"/>
          <w:noProof/>
          <w:sz w:val="24"/>
          <w:szCs w:val="24"/>
        </w:rPr>
      </w:pPr>
    </w:p>
    <w:p w:rsidR="00D62F0C" w:rsidRPr="00D62F0C" w:rsidRDefault="00D62F0C" w:rsidP="00D62F0C">
      <w:pPr>
        <w:numPr>
          <w:ilvl w:val="0"/>
          <w:numId w:val="1"/>
        </w:numPr>
        <w:spacing w:after="0" w:line="360" w:lineRule="auto"/>
        <w:contextualSpacing/>
        <w:jc w:val="both"/>
        <w:rPr>
          <w:rFonts w:ascii="David" w:eastAsia="Calibri" w:hAnsi="David" w:cs="David"/>
          <w:sz w:val="24"/>
          <w:szCs w:val="24"/>
        </w:rPr>
      </w:pPr>
      <w:r w:rsidRPr="00D62F0C">
        <w:rPr>
          <w:rFonts w:ascii="David" w:eastAsia="Calibri" w:hAnsi="David" w:cs="David"/>
          <w:sz w:val="24"/>
          <w:szCs w:val="24"/>
          <w:rtl/>
        </w:rPr>
        <w:t xml:space="preserve">מכל האמור מוצאת אני לקבוע שמדובר במתנה מוגמרת ולא בהתחייבות להענקת מתנה, ועל כן, התובעים אינם רשאים לחזור מהם מהענקתה, גם לא אגב הודעה. אפנה לעניין זה לקביעתה של כבוד השופטת ברון בפרשת נחשון, שם קבעה: </w:t>
      </w:r>
      <w:r w:rsidRPr="00D62F0C">
        <w:rPr>
          <w:rFonts w:ascii="David" w:eastAsia="Calibri" w:hAnsi="David" w:cs="David"/>
          <w:b/>
          <w:bCs/>
          <w:sz w:val="24"/>
          <w:szCs w:val="24"/>
          <w:rtl/>
        </w:rPr>
        <w:t xml:space="preserve">"על פי חוק המתנה, משהושלמה המתנה הודעה זו היא חסרת נפקות ותוקף". </w:t>
      </w:r>
    </w:p>
    <w:p w:rsidR="00D62F0C" w:rsidRPr="00D62F0C" w:rsidRDefault="00D62F0C" w:rsidP="00D62F0C">
      <w:pPr>
        <w:spacing w:line="360" w:lineRule="auto"/>
        <w:ind w:left="360"/>
        <w:contextualSpacing/>
        <w:jc w:val="both"/>
        <w:rPr>
          <w:rFonts w:ascii="David" w:eastAsia="Calibri" w:hAnsi="David" w:cs="David"/>
          <w:sz w:val="24"/>
          <w:szCs w:val="24"/>
        </w:rPr>
      </w:pPr>
    </w:p>
    <w:p w:rsidR="00D62F0C" w:rsidRPr="00D62F0C" w:rsidRDefault="00D62F0C" w:rsidP="00D62F0C">
      <w:pPr>
        <w:numPr>
          <w:ilvl w:val="0"/>
          <w:numId w:val="1"/>
        </w:numPr>
        <w:spacing w:after="0" w:line="360" w:lineRule="auto"/>
        <w:contextualSpacing/>
        <w:jc w:val="both"/>
        <w:rPr>
          <w:rFonts w:ascii="David" w:eastAsia="Times New Roman" w:hAnsi="David" w:cs="David"/>
          <w:sz w:val="24"/>
          <w:szCs w:val="24"/>
        </w:rPr>
      </w:pPr>
      <w:r w:rsidRPr="00D62F0C">
        <w:rPr>
          <w:rFonts w:ascii="David" w:eastAsia="Times New Roman" w:hAnsi="David" w:cs="David"/>
          <w:sz w:val="24"/>
          <w:szCs w:val="24"/>
          <w:rtl/>
        </w:rPr>
        <w:t xml:space="preserve">בסיפא לפס"ד אציין שכעולה מן העובדות שהוצגו לעיוני, אכן, מערכת היחסים בין הצדדים ידעה קרע ממשי, אותו הם חיים מידי יום, באופן בו אף נדרשים, באופן מצער, לעתור לסעדים האחד כלפי השני. ברם, עובדה מצערת זו, אינה עילה לביטול המתנה שהוענקה והושלמה. כולי תקווה שהצדדים ישכילו להניח למחלוקות ארוכות השנים הנטועות ביניהם, ולחיות האחד עם האחר באופן מכבד וראוי. </w:t>
      </w:r>
    </w:p>
    <w:p w:rsidR="00D62F0C" w:rsidRPr="00D62F0C" w:rsidRDefault="00D62F0C" w:rsidP="00D62F0C">
      <w:pPr>
        <w:spacing w:after="0" w:line="360" w:lineRule="auto"/>
        <w:jc w:val="both"/>
        <w:rPr>
          <w:rFonts w:ascii="Arial" w:eastAsia="Times New Roman" w:hAnsi="Arial" w:cs="David"/>
          <w:b/>
          <w:bCs/>
          <w:noProof/>
          <w:sz w:val="32"/>
          <w:szCs w:val="32"/>
          <w:u w:val="single"/>
          <w:rtl/>
        </w:rPr>
      </w:pPr>
      <w:r w:rsidRPr="00D62F0C">
        <w:rPr>
          <w:rFonts w:ascii="Arial" w:eastAsia="Times New Roman" w:hAnsi="Arial" w:cs="David"/>
          <w:b/>
          <w:bCs/>
          <w:noProof/>
          <w:sz w:val="32"/>
          <w:szCs w:val="32"/>
          <w:highlight w:val="lightGray"/>
          <w:u w:val="single"/>
          <w:rtl/>
        </w:rPr>
        <w:lastRenderedPageBreak/>
        <w:t>סוף דבר;</w:t>
      </w:r>
    </w:p>
    <w:p w:rsidR="00D62F0C" w:rsidRPr="00D62F0C" w:rsidRDefault="00D62F0C" w:rsidP="00D62F0C">
      <w:pPr>
        <w:spacing w:after="0" w:line="240" w:lineRule="auto"/>
        <w:jc w:val="both"/>
        <w:rPr>
          <w:rFonts w:ascii="Arial" w:eastAsia="Times New Roman" w:hAnsi="Arial" w:cs="David"/>
          <w:b/>
          <w:bCs/>
          <w:noProof/>
          <w:sz w:val="24"/>
          <w:szCs w:val="24"/>
          <w:u w:val="single"/>
          <w:rtl/>
        </w:rPr>
      </w:pPr>
    </w:p>
    <w:p w:rsidR="00D62F0C" w:rsidRPr="00D62F0C" w:rsidRDefault="00D62F0C" w:rsidP="00D62F0C">
      <w:pPr>
        <w:numPr>
          <w:ilvl w:val="0"/>
          <w:numId w:val="1"/>
        </w:numPr>
        <w:spacing w:after="0" w:line="360" w:lineRule="auto"/>
        <w:contextualSpacing/>
        <w:jc w:val="both"/>
        <w:rPr>
          <w:rFonts w:ascii="Arial" w:eastAsia="Times New Roman" w:hAnsi="Arial" w:cs="David"/>
          <w:b/>
          <w:bCs/>
          <w:sz w:val="24"/>
          <w:szCs w:val="24"/>
          <w:u w:val="single"/>
          <w:rtl/>
        </w:rPr>
      </w:pPr>
      <w:r w:rsidRPr="00D62F0C">
        <w:rPr>
          <w:rFonts w:ascii="Arial" w:eastAsia="Times New Roman" w:hAnsi="Arial" w:cs="David"/>
          <w:sz w:val="24"/>
          <w:szCs w:val="24"/>
          <w:rtl/>
        </w:rPr>
        <w:t xml:space="preserve">התביעה נדחית במלואה.  </w:t>
      </w:r>
    </w:p>
    <w:p w:rsidR="00D62F0C" w:rsidRPr="00D62F0C" w:rsidRDefault="00D62F0C" w:rsidP="00D62F0C">
      <w:pPr>
        <w:spacing w:after="0" w:line="240" w:lineRule="auto"/>
        <w:ind w:left="360"/>
        <w:contextualSpacing/>
        <w:jc w:val="both"/>
        <w:rPr>
          <w:rFonts w:ascii="Arial" w:eastAsia="Times New Roman" w:hAnsi="Arial" w:cs="David"/>
          <w:b/>
          <w:bCs/>
          <w:sz w:val="24"/>
          <w:szCs w:val="24"/>
          <w:u w:val="single"/>
          <w:rtl/>
        </w:rPr>
      </w:pPr>
    </w:p>
    <w:p w:rsidR="00D62F0C" w:rsidRPr="00D62F0C" w:rsidRDefault="00D62F0C" w:rsidP="00D62F0C">
      <w:pPr>
        <w:numPr>
          <w:ilvl w:val="0"/>
          <w:numId w:val="1"/>
        </w:numPr>
        <w:spacing w:after="0" w:line="360" w:lineRule="auto"/>
        <w:contextualSpacing/>
        <w:jc w:val="both"/>
        <w:rPr>
          <w:rFonts w:ascii="Arial" w:eastAsia="Times New Roman" w:hAnsi="Arial" w:cs="David"/>
          <w:sz w:val="24"/>
          <w:szCs w:val="24"/>
        </w:rPr>
      </w:pPr>
      <w:r w:rsidRPr="00D62F0C">
        <w:rPr>
          <w:rFonts w:ascii="Arial" w:eastAsia="Times New Roman" w:hAnsi="Arial" w:cs="David"/>
          <w:sz w:val="24"/>
          <w:szCs w:val="24"/>
          <w:rtl/>
        </w:rPr>
        <w:t xml:space="preserve">לאחר ששקלתי את כלל השיקולים הצריכים בשאלת ההוצאות, ונתתי דעתי בין היתר לכך שהתובעים מיוצגים באמצעות הלשכה לסיוע משפטי, להתנהלות הדיונית, ולחיוב התובעים  בהוצאות לטובת הנתבעים כאמור בהחלטה מיום 13.12.18; ועת המדובר בבני משפחה מדרגה ראשונה, תוך שכולי תקווה שיפעלו כאמור בסעיף 50 לעיל, אינני עושה צו להוצאות.  </w:t>
      </w:r>
    </w:p>
    <w:p w:rsidR="00D62F0C" w:rsidRPr="00D62F0C" w:rsidRDefault="00D62F0C" w:rsidP="00D62F0C">
      <w:pPr>
        <w:spacing w:after="0" w:line="240" w:lineRule="auto"/>
        <w:jc w:val="both"/>
        <w:rPr>
          <w:rFonts w:ascii="Arial" w:eastAsia="Times New Roman" w:hAnsi="Arial" w:cs="David"/>
          <w:noProof/>
          <w:sz w:val="24"/>
          <w:szCs w:val="24"/>
          <w:rtl/>
        </w:rPr>
      </w:pPr>
    </w:p>
    <w:p w:rsidR="00D62F0C" w:rsidRPr="00D62F0C" w:rsidRDefault="00D62F0C" w:rsidP="00D62F0C">
      <w:pPr>
        <w:spacing w:after="0" w:line="240" w:lineRule="auto"/>
        <w:jc w:val="both"/>
        <w:rPr>
          <w:rFonts w:ascii="Arial" w:eastAsia="Times New Roman" w:hAnsi="Arial" w:cs="David"/>
          <w:noProof/>
          <w:sz w:val="24"/>
          <w:szCs w:val="24"/>
          <w:rtl/>
        </w:rPr>
      </w:pPr>
    </w:p>
    <w:p w:rsidR="00D62F0C" w:rsidRPr="00D62F0C" w:rsidRDefault="00D62F0C" w:rsidP="00D62F0C">
      <w:pPr>
        <w:spacing w:after="0" w:line="240" w:lineRule="auto"/>
        <w:jc w:val="both"/>
        <w:rPr>
          <w:rFonts w:ascii="Arial" w:eastAsia="Times New Roman" w:hAnsi="Arial" w:cs="David"/>
          <w:noProof/>
          <w:sz w:val="24"/>
          <w:szCs w:val="24"/>
          <w:u w:val="single"/>
          <w:rtl/>
        </w:rPr>
      </w:pPr>
      <w:r w:rsidRPr="00D62F0C">
        <w:rPr>
          <w:rFonts w:ascii="Arial" w:eastAsia="Times New Roman" w:hAnsi="Arial" w:cs="David"/>
          <w:noProof/>
          <w:sz w:val="24"/>
          <w:szCs w:val="24"/>
          <w:u w:val="single"/>
          <w:rtl/>
        </w:rPr>
        <w:t>בזאת תמה המחלוקת לפניי.</w:t>
      </w:r>
    </w:p>
    <w:p w:rsidR="00D62F0C" w:rsidRPr="00D62F0C" w:rsidRDefault="00D62F0C" w:rsidP="00D62F0C">
      <w:pPr>
        <w:spacing w:after="0" w:line="240" w:lineRule="auto"/>
        <w:jc w:val="both"/>
        <w:rPr>
          <w:rFonts w:ascii="Arial" w:eastAsia="Times New Roman" w:hAnsi="Arial" w:cs="David"/>
          <w:noProof/>
          <w:sz w:val="24"/>
          <w:szCs w:val="24"/>
          <w:rtl/>
        </w:rPr>
      </w:pPr>
    </w:p>
    <w:p w:rsidR="003C7ED3" w:rsidRDefault="003C7ED3" w:rsidP="00D62F0C">
      <w:pPr>
        <w:spacing w:after="0" w:line="240" w:lineRule="auto"/>
        <w:jc w:val="both"/>
        <w:rPr>
          <w:rFonts w:ascii="Arial" w:eastAsia="Times New Roman" w:hAnsi="Arial" w:cs="David"/>
          <w:b/>
          <w:bCs/>
          <w:noProof/>
          <w:sz w:val="24"/>
          <w:szCs w:val="24"/>
          <w:u w:val="single"/>
          <w:rtl/>
        </w:rPr>
      </w:pPr>
    </w:p>
    <w:p w:rsidR="003C7ED3" w:rsidRDefault="003C7ED3" w:rsidP="00D62F0C">
      <w:pPr>
        <w:spacing w:after="0" w:line="240" w:lineRule="auto"/>
        <w:jc w:val="both"/>
        <w:rPr>
          <w:rFonts w:ascii="Arial" w:eastAsia="Times New Roman" w:hAnsi="Arial" w:cs="David"/>
          <w:b/>
          <w:bCs/>
          <w:noProof/>
          <w:sz w:val="24"/>
          <w:szCs w:val="24"/>
          <w:u w:val="single"/>
          <w:rtl/>
        </w:rPr>
      </w:pPr>
      <w:r>
        <w:rPr>
          <w:rFonts w:ascii="Arial" w:eastAsia="Times New Roman" w:hAnsi="Arial" w:cs="David" w:hint="cs"/>
          <w:b/>
          <w:bCs/>
          <w:noProof/>
          <w:sz w:val="24"/>
          <w:szCs w:val="24"/>
          <w:u w:val="single"/>
          <w:rtl/>
        </w:rPr>
        <w:t xml:space="preserve">פסק הדין מותר לפרסום. </w:t>
      </w:r>
    </w:p>
    <w:p w:rsidR="003C7ED3" w:rsidRDefault="003C7ED3" w:rsidP="00D62F0C">
      <w:pPr>
        <w:spacing w:after="0" w:line="240" w:lineRule="auto"/>
        <w:jc w:val="both"/>
        <w:rPr>
          <w:rFonts w:ascii="Arial" w:eastAsia="Times New Roman" w:hAnsi="Arial" w:cs="David"/>
          <w:b/>
          <w:bCs/>
          <w:noProof/>
          <w:sz w:val="24"/>
          <w:szCs w:val="24"/>
          <w:u w:val="single"/>
          <w:rtl/>
        </w:rPr>
      </w:pPr>
    </w:p>
    <w:p w:rsidR="003C7ED3" w:rsidRPr="00D62F0C" w:rsidRDefault="003C7ED3" w:rsidP="00D62F0C">
      <w:pPr>
        <w:spacing w:after="0" w:line="240" w:lineRule="auto"/>
        <w:jc w:val="both"/>
        <w:rPr>
          <w:rFonts w:ascii="Arial" w:eastAsia="Times New Roman" w:hAnsi="Arial" w:cs="David"/>
          <w:b/>
          <w:bCs/>
          <w:noProof/>
          <w:sz w:val="24"/>
          <w:szCs w:val="24"/>
          <w:u w:val="single"/>
        </w:rPr>
      </w:pPr>
    </w:p>
    <w:p w:rsidR="00D62F0C" w:rsidRPr="00D62F0C" w:rsidRDefault="00D62F0C" w:rsidP="00D62F0C">
      <w:pPr>
        <w:spacing w:after="0" w:line="240" w:lineRule="auto"/>
        <w:jc w:val="both"/>
        <w:rPr>
          <w:rFonts w:ascii="Arial" w:eastAsia="Times New Roman" w:hAnsi="Arial" w:cs="David"/>
          <w:noProof/>
          <w:sz w:val="24"/>
          <w:szCs w:val="24"/>
          <w:rtl/>
        </w:rPr>
      </w:pPr>
      <w:r w:rsidRPr="00D62F0C">
        <w:rPr>
          <w:rFonts w:ascii="Arial" w:eastAsia="Times New Roman" w:hAnsi="Arial" w:cs="David"/>
          <w:b/>
          <w:bCs/>
          <w:noProof/>
          <w:sz w:val="24"/>
          <w:szCs w:val="24"/>
          <w:u w:val="single"/>
          <w:rtl/>
        </w:rPr>
        <w:t xml:space="preserve">המזכירות </w:t>
      </w:r>
      <w:r w:rsidRPr="00D62F0C">
        <w:rPr>
          <w:rFonts w:ascii="Arial" w:eastAsia="Times New Roman" w:hAnsi="Arial" w:cs="David"/>
          <w:noProof/>
          <w:sz w:val="24"/>
          <w:szCs w:val="24"/>
          <w:rtl/>
        </w:rPr>
        <w:t>תמציא פס"ד לצדדים ותסגור את התיק.</w:t>
      </w:r>
    </w:p>
    <w:p w:rsidR="00D62F0C" w:rsidRPr="00D62F0C" w:rsidRDefault="00D62F0C" w:rsidP="00D62F0C">
      <w:pPr>
        <w:spacing w:after="0" w:line="240" w:lineRule="auto"/>
        <w:jc w:val="both"/>
        <w:rPr>
          <w:rFonts w:ascii="Arial" w:eastAsia="Times New Roman" w:hAnsi="Arial" w:cs="David"/>
          <w:noProof/>
          <w:sz w:val="24"/>
          <w:szCs w:val="24"/>
          <w:rtl/>
        </w:rPr>
      </w:pPr>
    </w:p>
    <w:p w:rsidR="00D62F0C" w:rsidRPr="00D62F0C" w:rsidRDefault="00D62F0C" w:rsidP="00D62F0C">
      <w:pPr>
        <w:spacing w:after="0" w:line="240" w:lineRule="auto"/>
        <w:jc w:val="both"/>
        <w:rPr>
          <w:rFonts w:ascii="Arial" w:eastAsia="Times New Roman" w:hAnsi="Arial" w:cs="David"/>
          <w:noProof/>
          <w:sz w:val="24"/>
          <w:szCs w:val="24"/>
          <w:rtl/>
        </w:rPr>
      </w:pPr>
    </w:p>
    <w:p w:rsidR="00D62F0C" w:rsidRPr="00D62F0C" w:rsidRDefault="00D62F0C" w:rsidP="00D62F0C">
      <w:pPr>
        <w:spacing w:after="0" w:line="360" w:lineRule="auto"/>
        <w:jc w:val="both"/>
        <w:rPr>
          <w:rFonts w:ascii="Arial" w:eastAsia="Times New Roman" w:hAnsi="Arial" w:cs="David"/>
          <w:b/>
          <w:bCs/>
          <w:sz w:val="24"/>
          <w:szCs w:val="24"/>
          <w:rtl/>
        </w:rPr>
      </w:pPr>
      <w:r w:rsidRPr="00D62F0C">
        <w:rPr>
          <w:rFonts w:ascii="Arial" w:eastAsia="Times New Roman" w:hAnsi="Arial" w:cs="David"/>
          <w:b/>
          <w:bCs/>
          <w:sz w:val="24"/>
          <w:szCs w:val="24"/>
          <w:rtl/>
        </w:rPr>
        <w:t xml:space="preserve">ניתן היום,  </w:t>
      </w:r>
      <w:sdt>
        <w:sdtPr>
          <w:rPr>
            <w:rFonts w:ascii="Times New Roman" w:eastAsia="Times New Roman" w:hAnsi="Times New Roman" w:cs="David"/>
            <w:b/>
            <w:bCs/>
            <w:noProof/>
            <w:sz w:val="24"/>
            <w:szCs w:val="24"/>
            <w:rtl/>
          </w:rPr>
          <w:alias w:val="1455"/>
          <w:tag w:val="1455"/>
          <w:id w:val="242217728"/>
          <w:text w:multiLine="1"/>
        </w:sdtPr>
        <w:sdtEndPr/>
        <w:sdtContent>
          <w:r w:rsidRPr="00D62F0C">
            <w:rPr>
              <w:rFonts w:ascii="Times New Roman" w:eastAsia="Times New Roman" w:hAnsi="Times New Roman" w:cs="David"/>
              <w:b/>
              <w:bCs/>
              <w:noProof/>
              <w:sz w:val="24"/>
              <w:szCs w:val="24"/>
              <w:rtl/>
            </w:rPr>
            <w:t>כ' אייר תשפ"ג</w:t>
          </w:r>
        </w:sdtContent>
      </w:sdt>
      <w:r w:rsidRPr="00D62F0C">
        <w:rPr>
          <w:rFonts w:ascii="Arial" w:eastAsia="Times New Roman" w:hAnsi="Arial" w:cs="David"/>
          <w:b/>
          <w:bCs/>
          <w:sz w:val="24"/>
          <w:szCs w:val="24"/>
          <w:rtl/>
        </w:rPr>
        <w:t xml:space="preserve">, </w:t>
      </w:r>
      <w:sdt>
        <w:sdtPr>
          <w:rPr>
            <w:rFonts w:ascii="Times New Roman" w:eastAsia="Times New Roman" w:hAnsi="Times New Roman" w:cs="David"/>
            <w:b/>
            <w:bCs/>
            <w:noProof/>
            <w:sz w:val="24"/>
            <w:szCs w:val="24"/>
            <w:rtl/>
          </w:rPr>
          <w:alias w:val="1456"/>
          <w:tag w:val="1456"/>
          <w:id w:val="-1101635932"/>
          <w:text w:multiLine="1"/>
        </w:sdtPr>
        <w:sdtEndPr/>
        <w:sdtContent>
          <w:r w:rsidRPr="00D62F0C">
            <w:rPr>
              <w:rFonts w:ascii="Times New Roman" w:eastAsia="Times New Roman" w:hAnsi="Times New Roman" w:cs="David"/>
              <w:b/>
              <w:bCs/>
              <w:noProof/>
              <w:sz w:val="24"/>
              <w:szCs w:val="24"/>
              <w:rtl/>
            </w:rPr>
            <w:t>11 מאי 2023</w:t>
          </w:r>
        </w:sdtContent>
      </w:sdt>
      <w:r w:rsidRPr="00D62F0C">
        <w:rPr>
          <w:rFonts w:ascii="Arial" w:eastAsia="Times New Roman" w:hAnsi="Arial" w:cs="David"/>
          <w:b/>
          <w:bCs/>
          <w:sz w:val="24"/>
          <w:szCs w:val="24"/>
          <w:rtl/>
        </w:rPr>
        <w:t>, בהעדר הצדדים.</w:t>
      </w:r>
    </w:p>
    <w:p w:rsidR="00D62F0C" w:rsidRPr="00D62F0C" w:rsidRDefault="00D62F0C" w:rsidP="00D62F0C">
      <w:pPr>
        <w:spacing w:after="0" w:line="360" w:lineRule="auto"/>
        <w:jc w:val="both"/>
        <w:rPr>
          <w:rFonts w:ascii="Arial" w:eastAsia="Times New Roman" w:hAnsi="Arial" w:cs="David"/>
          <w:sz w:val="24"/>
          <w:szCs w:val="24"/>
          <w:rtl/>
        </w:rPr>
      </w:pPr>
      <w:r w:rsidRPr="00D62F0C">
        <w:rPr>
          <w:rFonts w:ascii="Arial" w:eastAsia="Times New Roman" w:hAnsi="Arial" w:cs="David"/>
          <w:sz w:val="24"/>
          <w:szCs w:val="24"/>
          <w:rtl/>
        </w:rPr>
        <w:tab/>
      </w:r>
      <w:r w:rsidRPr="00D62F0C">
        <w:rPr>
          <w:rFonts w:ascii="Arial" w:eastAsia="Times New Roman" w:hAnsi="Arial" w:cs="David"/>
          <w:sz w:val="24"/>
          <w:szCs w:val="24"/>
          <w:rtl/>
        </w:rPr>
        <w:tab/>
      </w:r>
      <w:r w:rsidRPr="00D62F0C">
        <w:rPr>
          <w:rFonts w:ascii="Arial" w:eastAsia="Times New Roman" w:hAnsi="Arial" w:cs="David"/>
          <w:sz w:val="24"/>
          <w:szCs w:val="24"/>
          <w:rtl/>
        </w:rPr>
        <w:tab/>
      </w:r>
      <w:r w:rsidRPr="00D62F0C">
        <w:rPr>
          <w:rFonts w:ascii="Arial" w:eastAsia="Times New Roman" w:hAnsi="Arial" w:cs="David"/>
          <w:sz w:val="24"/>
          <w:szCs w:val="24"/>
          <w:rtl/>
        </w:rPr>
        <w:tab/>
      </w:r>
      <w:r w:rsidRPr="00D62F0C">
        <w:rPr>
          <w:rFonts w:ascii="Arial" w:eastAsia="Times New Roman" w:hAnsi="Arial" w:cs="David"/>
          <w:sz w:val="24"/>
          <w:szCs w:val="24"/>
          <w:rtl/>
        </w:rPr>
        <w:tab/>
      </w:r>
      <w:r w:rsidRPr="00D62F0C">
        <w:rPr>
          <w:rFonts w:ascii="Arial" w:eastAsia="Times New Roman" w:hAnsi="Arial" w:cs="David"/>
          <w:sz w:val="24"/>
          <w:szCs w:val="24"/>
          <w:rtl/>
        </w:rPr>
        <w:tab/>
      </w:r>
      <w:sdt>
        <w:sdtPr>
          <w:rPr>
            <w:rFonts w:ascii="Arial" w:eastAsia="Times New Roman" w:hAnsi="Arial" w:cs="David"/>
            <w:sz w:val="24"/>
            <w:szCs w:val="24"/>
            <w:rtl/>
          </w:rPr>
          <w:alias w:val="2045"/>
          <w:tag w:val="2045"/>
          <w:id w:val="1736736771"/>
          <w:placeholder>
            <w:docPart w:val="1A0B5DC053484EC7A62DB2E7A86BE3D7"/>
          </w:placeholder>
          <w:showingPlcHdr/>
          <w:text w:multiLine="1"/>
        </w:sdtPr>
        <w:sdtEndPr/>
        <w:sdtContent/>
      </w:sdt>
      <w:r w:rsidRPr="00D62F0C">
        <w:rPr>
          <w:rFonts w:ascii="Arial" w:eastAsia="Times New Roman" w:hAnsi="Arial" w:cs="David"/>
          <w:sz w:val="24"/>
          <w:szCs w:val="24"/>
          <w:rtl/>
        </w:rPr>
        <w:tab/>
      </w:r>
      <w:r w:rsidRPr="00D62F0C">
        <w:rPr>
          <w:rFonts w:ascii="Arial" w:eastAsia="Times New Roman" w:hAnsi="Arial" w:cs="David"/>
          <w:sz w:val="24"/>
          <w:szCs w:val="24"/>
          <w:rtl/>
        </w:rPr>
        <w:tab/>
        <w:t xml:space="preserve"> </w:t>
      </w:r>
    </w:p>
    <w:p w:rsidR="002A5C78" w:rsidRDefault="00D93717" w:rsidP="006A2A7E">
      <w:pPr>
        <w:spacing w:after="0" w:line="360" w:lineRule="auto"/>
        <w:ind w:left="3600" w:firstLine="720"/>
      </w:pPr>
      <w:sdt>
        <w:sdtPr>
          <w:rPr>
            <w:rFonts w:ascii="Times New Roman" w:eastAsia="Times New Roman" w:hAnsi="Times New Roman" w:cs="David"/>
            <w:noProof/>
            <w:sz w:val="24"/>
            <w:szCs w:val="24"/>
            <w:rtl/>
          </w:rPr>
          <w:alias w:val="MergeField"/>
          <w:tag w:val="1237"/>
          <w:id w:val="-927265519"/>
        </w:sdtPr>
        <w:sdtEndPr/>
        <w:sdtContent>
          <w:r w:rsidR="00D62F0C" w:rsidRPr="00D62F0C">
            <w:rPr>
              <w:rFonts w:ascii="Times New Roman" w:eastAsia="Times New Roman" w:hAnsi="Times New Roman" w:cs="David"/>
              <w:noProof/>
              <w:sz w:val="24"/>
              <w:szCs w:val="24"/>
            </w:rPr>
            <w:drawing>
              <wp:inline distT="0" distB="0" distL="0" distR="0" wp14:anchorId="77C3651C" wp14:editId="569C273A">
                <wp:extent cx="1336675" cy="83820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675" cy="838200"/>
                        </a:xfrm>
                        <a:prstGeom prst="rect">
                          <a:avLst/>
                        </a:prstGeom>
                        <a:noFill/>
                        <a:ln>
                          <a:noFill/>
                        </a:ln>
                      </pic:spPr>
                    </pic:pic>
                  </a:graphicData>
                </a:graphic>
              </wp:inline>
            </w:drawing>
          </w:r>
        </w:sdtContent>
      </w:sdt>
    </w:p>
    <w:sectPr w:rsidR="002A5C78" w:rsidSect="00D62F0C">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737" w:footer="737" w:gutter="0"/>
      <w:lnNumType w:countBy="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717" w:rsidRDefault="00D93717" w:rsidP="002A5C78">
      <w:pPr>
        <w:spacing w:after="0" w:line="240" w:lineRule="auto"/>
      </w:pPr>
      <w:r>
        <w:separator/>
      </w:r>
    </w:p>
  </w:endnote>
  <w:endnote w:type="continuationSeparator" w:id="0">
    <w:p w:rsidR="00D93717" w:rsidRDefault="00D93717" w:rsidP="002A5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075" w:rsidRDefault="006E107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68541255"/>
      <w:docPartObj>
        <w:docPartGallery w:val="Page Numbers (Bottom of Page)"/>
        <w:docPartUnique/>
      </w:docPartObj>
    </w:sdtPr>
    <w:sdtEndPr>
      <w:rPr>
        <w:cs/>
      </w:rPr>
    </w:sdtEndPr>
    <w:sdtContent>
      <w:p w:rsidR="002A5C78" w:rsidRDefault="002A5C78">
        <w:pPr>
          <w:pStyle w:val="a5"/>
          <w:jc w:val="center"/>
          <w:rPr>
            <w:rtl/>
            <w:cs/>
          </w:rPr>
        </w:pPr>
        <w:r>
          <w:fldChar w:fldCharType="begin"/>
        </w:r>
        <w:r>
          <w:rPr>
            <w:rtl/>
            <w:cs/>
          </w:rPr>
          <w:instrText>PAGE   \* MERGEFORMAT</w:instrText>
        </w:r>
        <w:r>
          <w:fldChar w:fldCharType="separate"/>
        </w:r>
        <w:r w:rsidR="00A25277" w:rsidRPr="00A25277">
          <w:rPr>
            <w:noProof/>
            <w:rtl/>
            <w:lang w:val="he-IL"/>
          </w:rPr>
          <w:t>20</w:t>
        </w:r>
        <w:r>
          <w:fldChar w:fldCharType="end"/>
        </w:r>
      </w:p>
    </w:sdtContent>
  </w:sdt>
  <w:p w:rsidR="002A5C78" w:rsidRDefault="002A5C78">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075" w:rsidRDefault="006E107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717" w:rsidRDefault="00D93717" w:rsidP="002A5C78">
      <w:pPr>
        <w:spacing w:after="0" w:line="240" w:lineRule="auto"/>
      </w:pPr>
      <w:r>
        <w:separator/>
      </w:r>
    </w:p>
  </w:footnote>
  <w:footnote w:type="continuationSeparator" w:id="0">
    <w:p w:rsidR="00D93717" w:rsidRDefault="00D93717" w:rsidP="002A5C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075" w:rsidRDefault="006E107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C78" w:rsidRPr="00920EBB" w:rsidRDefault="002A5C78" w:rsidP="002A5C78">
    <w:pPr>
      <w:tabs>
        <w:tab w:val="center" w:pos="4153"/>
        <w:tab w:val="right" w:pos="8306"/>
      </w:tabs>
      <w:spacing w:after="0" w:line="240" w:lineRule="auto"/>
      <w:jc w:val="center"/>
      <w:rPr>
        <w:rFonts w:ascii="Times New Roman" w:eastAsia="Times New Roman" w:hAnsi="Times New Roman" w:cs="FrankRuehl"/>
        <w:sz w:val="28"/>
        <w:szCs w:val="28"/>
      </w:rPr>
    </w:pPr>
    <w:r w:rsidRPr="00920EBB">
      <w:rPr>
        <w:rFonts w:ascii="Times New Roman" w:eastAsia="Times New Roman" w:hAnsi="Times New Roman" w:cs="FrankRuehl"/>
        <w:noProof/>
        <w:sz w:val="28"/>
        <w:szCs w:val="28"/>
      </w:rPr>
      <w:drawing>
        <wp:inline distT="0" distB="0" distL="0" distR="0" wp14:anchorId="0C249327" wp14:editId="722DF9D6">
          <wp:extent cx="374015" cy="464185"/>
          <wp:effectExtent l="0" t="0" r="6985" b="0"/>
          <wp:docPr id="1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4015" cy="464185"/>
                  </a:xfrm>
                  <a:prstGeom prst="rect">
                    <a:avLst/>
                  </a:prstGeom>
                  <a:noFill/>
                  <a:ln>
                    <a:noFill/>
                  </a:ln>
                </pic:spPr>
              </pic:pic>
            </a:graphicData>
          </a:graphic>
        </wp:inline>
      </w:drawing>
    </w:r>
    <w:r w:rsidRPr="00920EBB">
      <w:rPr>
        <w:rFonts w:ascii="Times New Roman" w:eastAsia="Times New Roman" w:hAnsi="Times New Roman" w:cs="David"/>
        <w:noProof/>
        <w:sz w:val="24"/>
        <w:szCs w:val="24"/>
      </w:rPr>
      <mc:AlternateContent>
        <mc:Choice Requires="wps">
          <w:drawing>
            <wp:anchor distT="0" distB="0" distL="114300" distR="114300" simplePos="0" relativeHeight="251659264" behindDoc="0" locked="0" layoutInCell="1" allowOverlap="1" wp14:anchorId="68D66932" wp14:editId="048E9715">
              <wp:simplePos x="0" y="0"/>
              <wp:positionH relativeFrom="margin">
                <wp:align>center</wp:align>
              </wp:positionH>
              <wp:positionV relativeFrom="margin">
                <wp:align>center</wp:align>
              </wp:positionV>
              <wp:extent cx="6071870" cy="1104265"/>
              <wp:effectExtent l="0" t="1895475" r="0" b="1962785"/>
              <wp:wrapNone/>
              <wp:docPr id="2" name="PowerPlusWaterMarkObject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A5C78" w:rsidRDefault="002A5C78" w:rsidP="002A5C78">
                          <w:pPr>
                            <w:pStyle w:val="NormalWeb"/>
                            <w:spacing w:after="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D66932" id="_x0000_t202" coordsize="21600,21600" o:spt="202" path="m,l,21600r21600,l21600,xe">
              <v:stroke joinstyle="miter"/>
              <v:path gradientshapeok="t" o:connecttype="rect"/>
            </v:shapetype>
            <v:shape id="PowerPlusWaterMarkObject2"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" filled="f" stroked="f">
              <v:stroke joinstyle="round"/>
              <o:lock v:ext="edit" aspectratio="t" shapetype="t"/>
              <v:textbox style="mso-fit-shape-to-text:t">
                <w:txbxContent>
                  <w:p w:rsidR="002A5C78" w:rsidRDefault="002A5C78" w:rsidP="002A5C78">
                    <w:pPr>
                      <w:pStyle w:val="NormalWeb"/>
                      <w:spacing w:after="0"/>
                      <w:jc w:val="center"/>
                    </w:pPr>
                  </w:p>
                </w:txbxContent>
              </v:textbox>
              <w10:wrap anchorx="margin" anchory="margin"/>
            </v:shape>
          </w:pict>
        </mc:Fallback>
      </mc:AlternateContent>
    </w:r>
  </w:p>
  <w:sdt>
    <w:sdtPr>
      <w:rPr>
        <w:rFonts w:ascii="Tahoma" w:eastAsia="Times New Roman" w:hAnsi="Tahoma" w:cs="Tahoma"/>
        <w:b/>
        <w:bCs/>
        <w:noProof/>
        <w:color w:val="002060"/>
        <w:sz w:val="24"/>
        <w:szCs w:val="24"/>
        <w:rtl/>
      </w:rPr>
      <w:alias w:val="1174"/>
      <w:tag w:val="1174"/>
      <w:id w:val="-1775709220"/>
      <w:text/>
    </w:sdtPr>
    <w:sdtEndPr/>
    <w:sdtContent>
      <w:p w:rsidR="002A5C78" w:rsidRDefault="002A5C78" w:rsidP="002A5C78">
        <w:pPr>
          <w:pStyle w:val="a3"/>
          <w:jc w:val="center"/>
          <w:rPr>
            <w:rtl/>
            <w:cs/>
          </w:rPr>
        </w:pPr>
        <w:r w:rsidRPr="00B709FB">
          <w:rPr>
            <w:rFonts w:ascii="Tahoma" w:eastAsia="Times New Roman" w:hAnsi="Tahoma" w:cs="Tahoma"/>
            <w:b/>
            <w:bCs/>
            <w:noProof/>
            <w:color w:val="002060"/>
            <w:sz w:val="24"/>
            <w:szCs w:val="24"/>
            <w:rtl/>
          </w:rPr>
          <w:t>בית משפט לענייני משפחה בקריות</w:t>
        </w:r>
      </w:p>
    </w:sdtContent>
  </w:sdt>
  <w:p w:rsidR="002A5C78" w:rsidRDefault="002A5C78" w:rsidP="002A5C78">
    <w:pPr>
      <w:pStyle w:val="a3"/>
      <w:rPr>
        <w:rtl/>
        <w:cs/>
      </w:rPr>
    </w:pPr>
  </w:p>
  <w:p w:rsidR="00B709FB" w:rsidRDefault="00B709FB" w:rsidP="002A5C78">
    <w:pPr>
      <w:pStyle w:val="a3"/>
      <w:rPr>
        <w:rFonts w:ascii="David" w:hAnsi="David" w:cs="David"/>
        <w:b/>
        <w:bCs/>
        <w:sz w:val="24"/>
        <w:szCs w:val="24"/>
        <w:rtl/>
        <w:cs/>
      </w:rPr>
    </w:pPr>
  </w:p>
  <w:p w:rsidR="002A5C78" w:rsidRPr="002A5C78" w:rsidRDefault="002A5C78" w:rsidP="006A2A7E">
    <w:pPr>
      <w:pStyle w:val="a3"/>
      <w:rPr>
        <w:rFonts w:ascii="David" w:hAnsi="David" w:cs="David"/>
        <w:b/>
        <w:bCs/>
        <w:sz w:val="24"/>
        <w:szCs w:val="24"/>
        <w:rtl/>
        <w:cs/>
      </w:rPr>
    </w:pPr>
    <w:r w:rsidRPr="002A5C78">
      <w:rPr>
        <w:rFonts w:ascii="David" w:hAnsi="David" w:cs="David"/>
        <w:b/>
        <w:bCs/>
        <w:sz w:val="24"/>
        <w:szCs w:val="24"/>
        <w:rtl/>
        <w:cs/>
      </w:rPr>
      <w:t xml:space="preserve">תלה"מ </w:t>
    </w:r>
    <w:r w:rsidR="006A2A7E">
      <w:rPr>
        <w:rFonts w:ascii="David" w:hAnsi="David" w:cs="David" w:hint="cs"/>
        <w:b/>
        <w:bCs/>
        <w:sz w:val="24"/>
        <w:szCs w:val="24"/>
        <w:rtl/>
        <w:cs/>
      </w:rPr>
      <w:t xml:space="preserve">51220-02-18 </w:t>
    </w:r>
    <w:r>
      <w:rPr>
        <w:rFonts w:ascii="David" w:hAnsi="David" w:cs="David" w:hint="cs"/>
        <w:b/>
        <w:bCs/>
        <w:sz w:val="24"/>
        <w:szCs w:val="24"/>
        <w:rtl/>
        <w:cs/>
      </w:rPr>
      <w:t xml:space="preserve">פלוני נ' אלמוני </w:t>
    </w:r>
  </w:p>
  <w:p w:rsidR="002A5C78" w:rsidRDefault="002A5C78">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075" w:rsidRDefault="006E107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A71E0"/>
    <w:multiLevelType w:val="hybridMultilevel"/>
    <w:tmpl w:val="11E60530"/>
    <w:lvl w:ilvl="0" w:tplc="C0BEDB46">
      <w:start w:val="1"/>
      <w:numFmt w:val="decimal"/>
      <w:lvlText w:val="%1."/>
      <w:lvlJc w:val="left"/>
      <w:pPr>
        <w:ind w:left="360" w:hanging="360"/>
      </w:pPr>
      <w:rPr>
        <w:rFonts w:cs="David"/>
        <w:b w:val="0"/>
        <w:bCs w:val="0"/>
        <w:sz w:val="24"/>
        <w:szCs w:val="24"/>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 w15:restartNumberingAfterBreak="0">
    <w:nsid w:val="47FF3696"/>
    <w:multiLevelType w:val="hybridMultilevel"/>
    <w:tmpl w:val="9E2C8C4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693B5AE8"/>
    <w:multiLevelType w:val="hybridMultilevel"/>
    <w:tmpl w:val="91E6B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E7D017F"/>
    <w:multiLevelType w:val="hybridMultilevel"/>
    <w:tmpl w:val="6D3E3CCE"/>
    <w:lvl w:ilvl="0" w:tplc="26F60844">
      <w:start w:val="1"/>
      <w:numFmt w:val="hebrew1"/>
      <w:lvlText w:val="%1."/>
      <w:lvlJc w:val="left"/>
      <w:pPr>
        <w:ind w:left="720" w:hanging="360"/>
      </w:pPr>
      <w:rPr>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5B1"/>
    <w:rsid w:val="000839FC"/>
    <w:rsid w:val="002A5C78"/>
    <w:rsid w:val="003C7ED3"/>
    <w:rsid w:val="00422DB9"/>
    <w:rsid w:val="006A2A7E"/>
    <w:rsid w:val="006E1075"/>
    <w:rsid w:val="008D77CA"/>
    <w:rsid w:val="00960714"/>
    <w:rsid w:val="00A11621"/>
    <w:rsid w:val="00A25277"/>
    <w:rsid w:val="00AA45B9"/>
    <w:rsid w:val="00B709FB"/>
    <w:rsid w:val="00D62F0C"/>
    <w:rsid w:val="00D93717"/>
    <w:rsid w:val="00F445B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8A1BF-59A3-458E-ABC0-B5E13F2B8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C78"/>
    <w:pPr>
      <w:tabs>
        <w:tab w:val="center" w:pos="4153"/>
        <w:tab w:val="right" w:pos="8306"/>
      </w:tabs>
      <w:spacing w:after="0" w:line="240" w:lineRule="auto"/>
    </w:pPr>
  </w:style>
  <w:style w:type="character" w:customStyle="1" w:styleId="a4">
    <w:name w:val="כותרת עליונה תו"/>
    <w:basedOn w:val="a0"/>
    <w:link w:val="a3"/>
    <w:uiPriority w:val="99"/>
    <w:rsid w:val="002A5C78"/>
  </w:style>
  <w:style w:type="paragraph" w:styleId="a5">
    <w:name w:val="footer"/>
    <w:basedOn w:val="a"/>
    <w:link w:val="a6"/>
    <w:uiPriority w:val="99"/>
    <w:unhideWhenUsed/>
    <w:rsid w:val="002A5C78"/>
    <w:pPr>
      <w:tabs>
        <w:tab w:val="center" w:pos="4153"/>
        <w:tab w:val="right" w:pos="8306"/>
      </w:tabs>
      <w:spacing w:after="0" w:line="240" w:lineRule="auto"/>
    </w:pPr>
  </w:style>
  <w:style w:type="character" w:customStyle="1" w:styleId="a6">
    <w:name w:val="כותרת תחתונה תו"/>
    <w:basedOn w:val="a0"/>
    <w:link w:val="a5"/>
    <w:uiPriority w:val="99"/>
    <w:rsid w:val="002A5C78"/>
  </w:style>
  <w:style w:type="paragraph" w:styleId="NormalWeb">
    <w:name w:val="Normal (Web)"/>
    <w:basedOn w:val="a"/>
    <w:uiPriority w:val="99"/>
    <w:semiHidden/>
    <w:unhideWhenUsed/>
    <w:rsid w:val="002A5C78"/>
    <w:rPr>
      <w:rFonts w:ascii="Times New Roman" w:hAnsi="Times New Roman" w:cs="Times New Roman"/>
      <w:sz w:val="24"/>
      <w:szCs w:val="24"/>
    </w:rPr>
  </w:style>
  <w:style w:type="paragraph" w:styleId="a7">
    <w:name w:val="Balloon Text"/>
    <w:basedOn w:val="a"/>
    <w:link w:val="a8"/>
    <w:uiPriority w:val="99"/>
    <w:semiHidden/>
    <w:unhideWhenUsed/>
    <w:rsid w:val="002A5C78"/>
    <w:pPr>
      <w:spacing w:after="0" w:line="240" w:lineRule="auto"/>
    </w:pPr>
    <w:rPr>
      <w:rFonts w:ascii="Tahoma" w:hAnsi="Tahoma" w:cs="Tahoma"/>
      <w:sz w:val="18"/>
      <w:szCs w:val="18"/>
    </w:rPr>
  </w:style>
  <w:style w:type="character" w:customStyle="1" w:styleId="a8">
    <w:name w:val="טקסט בלונים תו"/>
    <w:basedOn w:val="a0"/>
    <w:link w:val="a7"/>
    <w:uiPriority w:val="99"/>
    <w:semiHidden/>
    <w:rsid w:val="002A5C78"/>
    <w:rPr>
      <w:rFonts w:ascii="Tahoma" w:hAnsi="Tahoma" w:cs="Tahoma"/>
      <w:sz w:val="18"/>
      <w:szCs w:val="18"/>
    </w:rPr>
  </w:style>
  <w:style w:type="character" w:styleId="a9">
    <w:name w:val="line number"/>
    <w:basedOn w:val="a0"/>
    <w:uiPriority w:val="99"/>
    <w:semiHidden/>
    <w:unhideWhenUsed/>
    <w:rsid w:val="002A5C78"/>
  </w:style>
  <w:style w:type="table" w:styleId="aa">
    <w:name w:val="Table Grid"/>
    <w:basedOn w:val="a1"/>
    <w:rsid w:val="00D62F0C"/>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relaw.co.il/he/%D7%98%D7%A2%D7%95%D7%AA-%D7%95%D7%94%D7%98%D7%A2%D7%99%D7%94-%D7%91%D7%93%D7%99%D7%A0%D7%99-%D7%97%D7%95%D7%96%D7%99%D7%9D.html"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barelaw.co.il/he/%D7%A2%D7%90-1581-92-%D7%90%D7%91%D7%A8%D7%94%D7%9D-%D7%90%D7%91%D7%99-%D7%95%D7%9C%D7%A0%D7%98%D7%99%D7%9F-%D7%A0-%D7%93%D7%95%D7%A8%D7%99%D7%AA-%D7%95%D7%9C%D7%A0%D7%98%D7%99%D7%9F.html" TargetMode="Externa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A0B5DC053484EC7A62DB2E7A86BE3D7"/>
        <w:category>
          <w:name w:val="כללי"/>
          <w:gallery w:val="placeholder"/>
        </w:category>
        <w:types>
          <w:type w:val="bbPlcHdr"/>
        </w:types>
        <w:behaviors>
          <w:behavior w:val="content"/>
        </w:behaviors>
        <w:guid w:val="{07FB29D0-AC76-4FF4-A3FA-4D7AB721AA85}"/>
      </w:docPartPr>
      <w:docPartBody>
        <w:p w:rsidR="002829E0" w:rsidRDefault="00231914" w:rsidP="00231914">
          <w:pPr>
            <w:pStyle w:val="1A0B5DC053484EC7A62DB2E7A86BE3D7"/>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AEC"/>
    <w:rsid w:val="00045A61"/>
    <w:rsid w:val="00231914"/>
    <w:rsid w:val="002829E0"/>
    <w:rsid w:val="00454172"/>
    <w:rsid w:val="00807AE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A2CC408E6E44A82866DD614CDBF1A0E">
    <w:name w:val="3A2CC408E6E44A82866DD614CDBF1A0E"/>
    <w:rsid w:val="00807AEC"/>
    <w:pPr>
      <w:bidi/>
    </w:pPr>
  </w:style>
  <w:style w:type="paragraph" w:customStyle="1" w:styleId="4C21BD392BEC43F78A237A7F49641B94">
    <w:name w:val="4C21BD392BEC43F78A237A7F49641B94"/>
    <w:rsid w:val="00231914"/>
    <w:pPr>
      <w:bidi/>
    </w:pPr>
  </w:style>
  <w:style w:type="paragraph" w:customStyle="1" w:styleId="B7906E14BE5B4D6C8CDB4CFBAA864D5D">
    <w:name w:val="B7906E14BE5B4D6C8CDB4CFBAA864D5D"/>
    <w:rsid w:val="00231914"/>
    <w:pPr>
      <w:bidi/>
    </w:pPr>
  </w:style>
  <w:style w:type="paragraph" w:customStyle="1" w:styleId="4A0BFB0D101B47F08F5139273C6B0B1E">
    <w:name w:val="4A0BFB0D101B47F08F5139273C6B0B1E"/>
    <w:rsid w:val="00231914"/>
    <w:pPr>
      <w:bidi/>
    </w:pPr>
  </w:style>
  <w:style w:type="paragraph" w:customStyle="1" w:styleId="6713E2F6C52740709A819B995EDABDAA">
    <w:name w:val="6713E2F6C52740709A819B995EDABDAA"/>
    <w:rsid w:val="00231914"/>
    <w:pPr>
      <w:bidi/>
    </w:pPr>
  </w:style>
  <w:style w:type="character" w:styleId="a3">
    <w:name w:val="Placeholder Text"/>
    <w:basedOn w:val="a0"/>
    <w:uiPriority w:val="99"/>
    <w:semiHidden/>
    <w:rsid w:val="00231914"/>
  </w:style>
  <w:style w:type="paragraph" w:customStyle="1" w:styleId="1A0B5DC053484EC7A62DB2E7A86BE3D7">
    <w:name w:val="1A0B5DC053484EC7A62DB2E7A86BE3D7"/>
    <w:rsid w:val="0023191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7081</Words>
  <Characters>35406</Characters>
  <Application>Microsoft Office Word</Application>
  <DocSecurity>0</DocSecurity>
  <Lines>295</Lines>
  <Paragraphs>84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וינשטיין</dc:creator>
  <cp:keywords/>
  <dc:description/>
  <cp:lastModifiedBy>אסתר טטרואשילי</cp:lastModifiedBy>
  <cp:revision>2</cp:revision>
  <cp:lastPrinted>2023-07-04T07:03:00Z</cp:lastPrinted>
  <dcterms:created xsi:type="dcterms:W3CDTF">2023-07-16T09:00:00Z</dcterms:created>
  <dcterms:modified xsi:type="dcterms:W3CDTF">2023-07-16T09:00:00Z</dcterms:modified>
</cp:coreProperties>
</file>